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FFBF" w14:textId="77777777" w:rsidR="00ED2805" w:rsidRPr="006A316D" w:rsidRDefault="00ED2805" w:rsidP="00ED2805">
      <w:pPr>
        <w:spacing w:after="0" w:line="240" w:lineRule="auto"/>
        <w:jc w:val="center"/>
        <w:rPr>
          <w:rFonts w:ascii="Times New Roman" w:hAnsi="Times New Roman" w:cs="Times New Roman"/>
          <w:b/>
          <w:bCs/>
          <w:sz w:val="24"/>
          <w:szCs w:val="24"/>
        </w:rPr>
      </w:pPr>
      <w:r w:rsidRPr="006A316D">
        <w:rPr>
          <w:rFonts w:ascii="Times New Roman" w:hAnsi="Times New Roman" w:cs="Times New Roman"/>
          <w:b/>
          <w:bCs/>
          <w:sz w:val="24"/>
          <w:szCs w:val="24"/>
        </w:rPr>
        <w:t>KISA ÜRÜN BİLG</w:t>
      </w:r>
      <w:r w:rsidR="002D608B" w:rsidRPr="006A316D">
        <w:rPr>
          <w:rFonts w:ascii="Times New Roman" w:hAnsi="Times New Roman" w:cs="Times New Roman"/>
          <w:b/>
          <w:bCs/>
          <w:sz w:val="24"/>
          <w:szCs w:val="24"/>
        </w:rPr>
        <w:t>İSİ</w:t>
      </w:r>
    </w:p>
    <w:p w14:paraId="6214FD5B" w14:textId="77777777" w:rsidR="00910A0A" w:rsidRPr="006A316D" w:rsidRDefault="00910A0A" w:rsidP="00ED2805">
      <w:pPr>
        <w:spacing w:after="0" w:line="240" w:lineRule="auto"/>
        <w:jc w:val="center"/>
        <w:rPr>
          <w:rFonts w:ascii="Times New Roman" w:hAnsi="Times New Roman" w:cs="Times New Roman"/>
          <w:b/>
          <w:bCs/>
          <w:sz w:val="24"/>
          <w:szCs w:val="24"/>
        </w:rPr>
      </w:pPr>
    </w:p>
    <w:p w14:paraId="5A486406" w14:textId="77777777" w:rsidR="00910A0A" w:rsidRPr="006A316D" w:rsidRDefault="00910A0A" w:rsidP="00ED2805">
      <w:pPr>
        <w:spacing w:after="0" w:line="240" w:lineRule="auto"/>
        <w:jc w:val="center"/>
        <w:rPr>
          <w:rFonts w:ascii="Times New Roman" w:hAnsi="Times New Roman" w:cs="Times New Roman"/>
          <w:b/>
          <w:bCs/>
          <w:sz w:val="24"/>
          <w:szCs w:val="24"/>
        </w:rPr>
      </w:pPr>
    </w:p>
    <w:p w14:paraId="26321D76" w14:textId="77777777" w:rsidR="00ED2805" w:rsidRPr="006A316D" w:rsidRDefault="00ED2805" w:rsidP="00910A0A">
      <w:pPr>
        <w:spacing w:after="6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1. BEŞERİ TIBBİ ÜRÜNÜN ADI</w:t>
      </w:r>
    </w:p>
    <w:p w14:paraId="6BA10531" w14:textId="77777777" w:rsidR="00ED2805" w:rsidRPr="006A316D" w:rsidRDefault="00F43DD6" w:rsidP="00910A0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ZOLAX</w:t>
      </w:r>
      <w:r w:rsidR="00ED2805" w:rsidRPr="006A316D">
        <w:rPr>
          <w:rFonts w:ascii="Times New Roman" w:hAnsi="Times New Roman" w:cs="Times New Roman"/>
          <w:sz w:val="24"/>
          <w:szCs w:val="24"/>
        </w:rPr>
        <w:t xml:space="preserve"> 150 mg kapsül</w:t>
      </w:r>
    </w:p>
    <w:p w14:paraId="1B511407" w14:textId="77777777" w:rsidR="00ED2805" w:rsidRPr="006A316D" w:rsidRDefault="00ED2805" w:rsidP="00ED2805">
      <w:pPr>
        <w:spacing w:after="0" w:line="240" w:lineRule="auto"/>
        <w:jc w:val="both"/>
        <w:rPr>
          <w:rFonts w:ascii="Times New Roman" w:hAnsi="Times New Roman" w:cs="Times New Roman"/>
          <w:sz w:val="24"/>
          <w:szCs w:val="24"/>
        </w:rPr>
      </w:pPr>
    </w:p>
    <w:p w14:paraId="107A0153" w14:textId="77777777" w:rsidR="00ED2805" w:rsidRPr="006A316D" w:rsidRDefault="00ED2805" w:rsidP="00910A0A">
      <w:pPr>
        <w:spacing w:after="6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2. KALİTATİF VE KANTİTATİF BİLEŞİM</w:t>
      </w:r>
    </w:p>
    <w:p w14:paraId="33918A25" w14:textId="77777777" w:rsidR="00ED2805" w:rsidRPr="006A316D" w:rsidRDefault="00ED2805" w:rsidP="00910A0A">
      <w:pPr>
        <w:tabs>
          <w:tab w:val="left" w:pos="284"/>
        </w:tabs>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Etkin madde:</w:t>
      </w:r>
    </w:p>
    <w:p w14:paraId="716D81BC" w14:textId="77777777" w:rsidR="00ED2805" w:rsidRPr="006A316D" w:rsidRDefault="00ED2805" w:rsidP="00910A0A">
      <w:pPr>
        <w:tabs>
          <w:tab w:val="left" w:pos="284"/>
        </w:tabs>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150 mg</w:t>
      </w:r>
    </w:p>
    <w:p w14:paraId="1116F067" w14:textId="77777777" w:rsidR="00ED2805" w:rsidRPr="006A316D" w:rsidRDefault="00ED2805" w:rsidP="00910A0A">
      <w:pPr>
        <w:tabs>
          <w:tab w:val="left" w:pos="284"/>
        </w:tabs>
        <w:spacing w:after="0" w:line="240" w:lineRule="auto"/>
        <w:ind w:left="284"/>
        <w:jc w:val="both"/>
        <w:rPr>
          <w:rFonts w:ascii="Times New Roman" w:hAnsi="Times New Roman" w:cs="Times New Roman"/>
          <w:sz w:val="24"/>
          <w:szCs w:val="24"/>
        </w:rPr>
      </w:pPr>
    </w:p>
    <w:p w14:paraId="3811507F" w14:textId="77777777" w:rsidR="00ED2805" w:rsidRPr="006A316D" w:rsidRDefault="00ED2805" w:rsidP="00910A0A">
      <w:pPr>
        <w:tabs>
          <w:tab w:val="left" w:pos="284"/>
        </w:tabs>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Yardımcı maddeler:</w:t>
      </w:r>
    </w:p>
    <w:p w14:paraId="0B49F101" w14:textId="77777777" w:rsidR="00ED2805" w:rsidRPr="006A316D" w:rsidRDefault="00F43DD6" w:rsidP="00910A0A">
      <w:pPr>
        <w:tabs>
          <w:tab w:val="left" w:pos="284"/>
        </w:tabs>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Laktoz </w:t>
      </w:r>
      <w:r w:rsidR="002E15A5" w:rsidRPr="006A316D">
        <w:rPr>
          <w:rFonts w:ascii="Times New Roman" w:hAnsi="Times New Roman" w:cs="Times New Roman"/>
          <w:sz w:val="24"/>
          <w:szCs w:val="24"/>
        </w:rPr>
        <w:t>(sığır kaynaklı laktoz)</w:t>
      </w:r>
      <w:r w:rsidR="00910A0A" w:rsidRPr="006A316D">
        <w:rPr>
          <w:rFonts w:ascii="Times New Roman" w:hAnsi="Times New Roman" w:cs="Times New Roman"/>
          <w:sz w:val="24"/>
          <w:szCs w:val="24"/>
        </w:rPr>
        <w:t xml:space="preserve">      </w:t>
      </w:r>
      <w:r w:rsidRPr="006A316D">
        <w:rPr>
          <w:rFonts w:ascii="Times New Roman" w:hAnsi="Times New Roman" w:cs="Times New Roman"/>
          <w:sz w:val="24"/>
          <w:szCs w:val="24"/>
        </w:rPr>
        <w:t>146</w:t>
      </w:r>
      <w:r w:rsidR="00ED2805" w:rsidRPr="006A316D">
        <w:rPr>
          <w:rFonts w:ascii="Times New Roman" w:hAnsi="Times New Roman" w:cs="Times New Roman"/>
          <w:sz w:val="24"/>
          <w:szCs w:val="24"/>
        </w:rPr>
        <w:t>.1</w:t>
      </w:r>
      <w:r w:rsidRPr="006A316D">
        <w:rPr>
          <w:rFonts w:ascii="Times New Roman" w:hAnsi="Times New Roman" w:cs="Times New Roman"/>
          <w:sz w:val="24"/>
          <w:szCs w:val="24"/>
        </w:rPr>
        <w:t>5</w:t>
      </w:r>
      <w:r w:rsidR="00ED2805" w:rsidRPr="006A316D">
        <w:rPr>
          <w:rFonts w:ascii="Times New Roman" w:hAnsi="Times New Roman" w:cs="Times New Roman"/>
          <w:sz w:val="24"/>
          <w:szCs w:val="24"/>
        </w:rPr>
        <w:t xml:space="preserve"> mg</w:t>
      </w:r>
    </w:p>
    <w:p w14:paraId="2EAF772D" w14:textId="77777777" w:rsidR="00F43DD6" w:rsidRPr="006A316D" w:rsidRDefault="00F43DD6" w:rsidP="00910A0A">
      <w:pPr>
        <w:tabs>
          <w:tab w:val="left" w:pos="284"/>
        </w:tabs>
        <w:spacing w:after="0" w:line="240" w:lineRule="auto"/>
        <w:ind w:left="284"/>
        <w:jc w:val="both"/>
        <w:rPr>
          <w:rFonts w:ascii="Times New Roman" w:hAnsi="Times New Roman" w:cs="Times New Roman"/>
          <w:sz w:val="24"/>
          <w:szCs w:val="24"/>
        </w:rPr>
      </w:pPr>
    </w:p>
    <w:p w14:paraId="1C7BBB96" w14:textId="77777777" w:rsidR="00ED2805" w:rsidRPr="006A316D" w:rsidRDefault="00ED2805" w:rsidP="00910A0A">
      <w:pPr>
        <w:tabs>
          <w:tab w:val="left" w:pos="284"/>
        </w:tabs>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Yardımcı maddeler için 6.1’e bakınız.</w:t>
      </w:r>
    </w:p>
    <w:p w14:paraId="51D832D9" w14:textId="77777777" w:rsidR="00ED2805" w:rsidRPr="006A316D" w:rsidRDefault="00ED2805" w:rsidP="00ED2805">
      <w:pPr>
        <w:spacing w:after="0" w:line="240" w:lineRule="auto"/>
        <w:jc w:val="both"/>
        <w:rPr>
          <w:rFonts w:ascii="Times New Roman" w:hAnsi="Times New Roman" w:cs="Times New Roman"/>
          <w:sz w:val="24"/>
          <w:szCs w:val="24"/>
        </w:rPr>
      </w:pPr>
    </w:p>
    <w:p w14:paraId="6E238200" w14:textId="77777777" w:rsidR="00ED2805" w:rsidRPr="006A316D" w:rsidRDefault="00ED2805" w:rsidP="00ED2805">
      <w:pPr>
        <w:spacing w:after="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3. FARMASÖTİK FORM</w:t>
      </w:r>
    </w:p>
    <w:p w14:paraId="633F2BAA" w14:textId="77777777" w:rsidR="00ED2805" w:rsidRPr="006A316D" w:rsidRDefault="00ED2805" w:rsidP="00910A0A">
      <w:pPr>
        <w:tabs>
          <w:tab w:val="left" w:pos="284"/>
        </w:tabs>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Kapsül.</w:t>
      </w:r>
    </w:p>
    <w:p w14:paraId="097B07BB" w14:textId="77777777" w:rsidR="00ED2805" w:rsidRPr="006A316D" w:rsidRDefault="00F43DD6" w:rsidP="00910A0A">
      <w:pPr>
        <w:tabs>
          <w:tab w:val="left" w:pos="284"/>
        </w:tabs>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B</w:t>
      </w:r>
      <w:r w:rsidR="00CA7DA5" w:rsidRPr="006A316D">
        <w:rPr>
          <w:rFonts w:ascii="Times New Roman" w:hAnsi="Times New Roman" w:cs="Times New Roman"/>
          <w:sz w:val="24"/>
          <w:szCs w:val="24"/>
        </w:rPr>
        <w:t>eyaz, homojen bir toz içeren 1 n</w:t>
      </w:r>
      <w:r w:rsidRPr="006A316D">
        <w:rPr>
          <w:rFonts w:ascii="Times New Roman" w:hAnsi="Times New Roman" w:cs="Times New Roman"/>
          <w:sz w:val="24"/>
          <w:szCs w:val="24"/>
        </w:rPr>
        <w:t>o'lu beyaz opak sert jelatin kapsül</w:t>
      </w:r>
      <w:r w:rsidR="00CA7DA5" w:rsidRPr="006A316D">
        <w:rPr>
          <w:rFonts w:ascii="Times New Roman" w:hAnsi="Times New Roman" w:cs="Times New Roman"/>
          <w:sz w:val="24"/>
          <w:szCs w:val="24"/>
        </w:rPr>
        <w:t>.</w:t>
      </w:r>
    </w:p>
    <w:p w14:paraId="4FE444C9" w14:textId="77777777" w:rsidR="00ED2805" w:rsidRPr="006A316D" w:rsidRDefault="00ED2805" w:rsidP="00ED2805">
      <w:pPr>
        <w:spacing w:after="0" w:line="240" w:lineRule="auto"/>
        <w:jc w:val="both"/>
        <w:rPr>
          <w:rFonts w:ascii="Times New Roman" w:hAnsi="Times New Roman" w:cs="Times New Roman"/>
          <w:sz w:val="24"/>
          <w:szCs w:val="24"/>
        </w:rPr>
      </w:pPr>
    </w:p>
    <w:p w14:paraId="032FA12C" w14:textId="77777777" w:rsidR="00ED2805" w:rsidRPr="006A316D" w:rsidRDefault="00ED2805" w:rsidP="00910A0A">
      <w:pPr>
        <w:spacing w:after="6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4. KLİNİK ÖZELLİKLER</w:t>
      </w:r>
    </w:p>
    <w:p w14:paraId="5546D9C4" w14:textId="77777777" w:rsidR="00ED2805" w:rsidRPr="006A316D" w:rsidRDefault="00ED2805" w:rsidP="001E74BF">
      <w:pPr>
        <w:spacing w:after="6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4.1. Terapötik endikasyonlar</w:t>
      </w:r>
    </w:p>
    <w:p w14:paraId="1A1D2AAB" w14:textId="77777777" w:rsidR="00AB3EF3" w:rsidRPr="006A316D" w:rsidRDefault="00AB3EF3" w:rsidP="00AB3EF3">
      <w:pPr>
        <w:tabs>
          <w:tab w:val="left" w:pos="284"/>
        </w:tabs>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yetişkinlerde, aşağıdakilerin tedavisinde endikedir:</w:t>
      </w:r>
    </w:p>
    <w:p w14:paraId="6BFAB344" w14:textId="77777777" w:rsidR="00AB3EF3" w:rsidRPr="006A316D" w:rsidRDefault="00AB3EF3" w:rsidP="00AB3EF3">
      <w:pPr>
        <w:tabs>
          <w:tab w:val="left" w:pos="284"/>
        </w:tabs>
        <w:spacing w:after="0" w:line="240" w:lineRule="auto"/>
        <w:ind w:left="284"/>
        <w:jc w:val="both"/>
        <w:rPr>
          <w:rFonts w:ascii="Times New Roman" w:hAnsi="Times New Roman" w:cs="Times New Roman"/>
          <w:sz w:val="24"/>
          <w:szCs w:val="24"/>
        </w:rPr>
      </w:pPr>
    </w:p>
    <w:p w14:paraId="0BBC2D0B" w14:textId="77777777" w:rsidR="00AB3EF3" w:rsidRPr="006A316D" w:rsidRDefault="00AB3EF3" w:rsidP="00AB3EF3">
      <w:pPr>
        <w:pStyle w:val="ListeParagraf"/>
        <w:numPr>
          <w:ilvl w:val="0"/>
          <w:numId w:val="1"/>
        </w:numPr>
        <w:tabs>
          <w:tab w:val="left" w:pos="284"/>
        </w:tabs>
        <w:spacing w:after="0" w:line="240" w:lineRule="auto"/>
        <w:ind w:left="567" w:hanging="283"/>
        <w:jc w:val="both"/>
        <w:rPr>
          <w:rFonts w:ascii="Times New Roman" w:hAnsi="Times New Roman" w:cs="Times New Roman"/>
          <w:sz w:val="24"/>
          <w:szCs w:val="24"/>
        </w:rPr>
      </w:pPr>
      <w:r w:rsidRPr="006A316D">
        <w:rPr>
          <w:rFonts w:ascii="Times New Roman" w:hAnsi="Times New Roman" w:cs="Times New Roman"/>
          <w:sz w:val="24"/>
          <w:szCs w:val="24"/>
        </w:rPr>
        <w:t>Kriptokokal menenjit (</w:t>
      </w:r>
      <w:r w:rsidR="004E53AD" w:rsidRPr="006A316D">
        <w:rPr>
          <w:rFonts w:ascii="Times New Roman" w:hAnsi="Times New Roman" w:cs="Times New Roman"/>
          <w:sz w:val="24"/>
          <w:szCs w:val="24"/>
        </w:rPr>
        <w:t>B</w:t>
      </w:r>
      <w:r w:rsidRPr="006A316D">
        <w:rPr>
          <w:rFonts w:ascii="Times New Roman" w:hAnsi="Times New Roman" w:cs="Times New Roman"/>
          <w:sz w:val="24"/>
          <w:szCs w:val="24"/>
        </w:rPr>
        <w:t>kz. Bölüm 4.4)</w:t>
      </w:r>
    </w:p>
    <w:p w14:paraId="4D18C3DB" w14:textId="77777777" w:rsidR="00AB3EF3" w:rsidRPr="006A316D" w:rsidRDefault="00AB3EF3" w:rsidP="00AB3EF3">
      <w:pPr>
        <w:pStyle w:val="ListeParagraf"/>
        <w:numPr>
          <w:ilvl w:val="0"/>
          <w:numId w:val="1"/>
        </w:numPr>
        <w:tabs>
          <w:tab w:val="left" w:pos="284"/>
        </w:tabs>
        <w:spacing w:after="0" w:line="240" w:lineRule="auto"/>
        <w:ind w:left="567" w:hanging="283"/>
        <w:jc w:val="both"/>
        <w:rPr>
          <w:rFonts w:ascii="Times New Roman" w:hAnsi="Times New Roman" w:cs="Times New Roman"/>
          <w:sz w:val="24"/>
          <w:szCs w:val="24"/>
        </w:rPr>
      </w:pPr>
      <w:r w:rsidRPr="006A316D">
        <w:rPr>
          <w:rFonts w:ascii="Times New Roman" w:hAnsi="Times New Roman" w:cs="Times New Roman"/>
          <w:sz w:val="24"/>
          <w:szCs w:val="24"/>
        </w:rPr>
        <w:t>Koksidioidomikoz (</w:t>
      </w:r>
      <w:r w:rsidR="004E53AD" w:rsidRPr="006A316D">
        <w:rPr>
          <w:rFonts w:ascii="Times New Roman" w:hAnsi="Times New Roman" w:cs="Times New Roman"/>
          <w:sz w:val="24"/>
          <w:szCs w:val="24"/>
        </w:rPr>
        <w:t>B</w:t>
      </w:r>
      <w:r w:rsidRPr="006A316D">
        <w:rPr>
          <w:rFonts w:ascii="Times New Roman" w:hAnsi="Times New Roman" w:cs="Times New Roman"/>
          <w:sz w:val="24"/>
          <w:szCs w:val="24"/>
        </w:rPr>
        <w:t>kz. Bölüm 4.4)</w:t>
      </w:r>
    </w:p>
    <w:p w14:paraId="4A1E7FA0" w14:textId="77777777" w:rsidR="00AB3EF3" w:rsidRPr="006A316D" w:rsidRDefault="00AB3EF3" w:rsidP="00AB3EF3">
      <w:pPr>
        <w:pStyle w:val="ListeParagraf"/>
        <w:numPr>
          <w:ilvl w:val="0"/>
          <w:numId w:val="1"/>
        </w:numPr>
        <w:tabs>
          <w:tab w:val="left" w:pos="284"/>
        </w:tabs>
        <w:spacing w:after="0" w:line="240" w:lineRule="auto"/>
        <w:ind w:left="567" w:hanging="283"/>
        <w:jc w:val="both"/>
        <w:rPr>
          <w:rFonts w:ascii="Times New Roman" w:hAnsi="Times New Roman" w:cs="Times New Roman"/>
          <w:sz w:val="24"/>
          <w:szCs w:val="24"/>
        </w:rPr>
      </w:pPr>
      <w:r w:rsidRPr="006A316D">
        <w:rPr>
          <w:rFonts w:ascii="Times New Roman" w:hAnsi="Times New Roman" w:cs="Times New Roman"/>
          <w:sz w:val="24"/>
          <w:szCs w:val="24"/>
        </w:rPr>
        <w:t>İnvaziv kandidiyaz</w:t>
      </w:r>
    </w:p>
    <w:p w14:paraId="0F12F984" w14:textId="77777777" w:rsidR="00AB3EF3" w:rsidRPr="006A316D" w:rsidRDefault="00AB3EF3" w:rsidP="00AB3EF3">
      <w:pPr>
        <w:pStyle w:val="ListeParagraf"/>
        <w:numPr>
          <w:ilvl w:val="0"/>
          <w:numId w:val="1"/>
        </w:numPr>
        <w:tabs>
          <w:tab w:val="left" w:pos="284"/>
        </w:tabs>
        <w:spacing w:after="0" w:line="240" w:lineRule="auto"/>
        <w:ind w:left="567" w:hanging="283"/>
        <w:jc w:val="both"/>
        <w:rPr>
          <w:rFonts w:ascii="Times New Roman" w:hAnsi="Times New Roman" w:cs="Times New Roman"/>
          <w:sz w:val="24"/>
          <w:szCs w:val="24"/>
        </w:rPr>
      </w:pPr>
      <w:r w:rsidRPr="006A316D">
        <w:rPr>
          <w:rFonts w:ascii="Times New Roman" w:hAnsi="Times New Roman" w:cs="Times New Roman"/>
          <w:sz w:val="24"/>
          <w:szCs w:val="24"/>
        </w:rPr>
        <w:t>Orofarengeal, özofageal kandidiyazis, kandidüri ve kronik mukokutan kandidiyazis dahil olmak üzere mukozal kandidiyaz</w:t>
      </w:r>
    </w:p>
    <w:p w14:paraId="65FAEF01" w14:textId="77777777" w:rsidR="00AB3EF3" w:rsidRPr="006A316D" w:rsidRDefault="00AB3EF3" w:rsidP="00AB3EF3">
      <w:pPr>
        <w:pStyle w:val="ListeParagraf"/>
        <w:numPr>
          <w:ilvl w:val="0"/>
          <w:numId w:val="1"/>
        </w:numPr>
        <w:tabs>
          <w:tab w:val="left" w:pos="284"/>
        </w:tabs>
        <w:spacing w:after="0" w:line="240" w:lineRule="auto"/>
        <w:ind w:left="567" w:hanging="283"/>
        <w:jc w:val="both"/>
        <w:rPr>
          <w:rFonts w:ascii="Times New Roman" w:hAnsi="Times New Roman" w:cs="Times New Roman"/>
          <w:sz w:val="24"/>
          <w:szCs w:val="24"/>
        </w:rPr>
      </w:pPr>
      <w:r w:rsidRPr="006A316D">
        <w:rPr>
          <w:rFonts w:ascii="Times New Roman" w:hAnsi="Times New Roman" w:cs="Times New Roman"/>
          <w:sz w:val="24"/>
          <w:szCs w:val="24"/>
        </w:rPr>
        <w:t>Diş hijyeni veya topikal tedavi yetersizse kronik oral atrofik kandidiyaz (takma diş ağzı)</w:t>
      </w:r>
    </w:p>
    <w:p w14:paraId="66AFE017" w14:textId="77777777" w:rsidR="00AB3EF3" w:rsidRPr="006A316D" w:rsidRDefault="00AB3EF3" w:rsidP="00AB3EF3">
      <w:pPr>
        <w:pStyle w:val="ListeParagraf"/>
        <w:numPr>
          <w:ilvl w:val="0"/>
          <w:numId w:val="1"/>
        </w:numPr>
        <w:tabs>
          <w:tab w:val="left" w:pos="284"/>
        </w:tabs>
        <w:spacing w:after="0" w:line="240" w:lineRule="auto"/>
        <w:ind w:left="567" w:hanging="283"/>
        <w:jc w:val="both"/>
        <w:rPr>
          <w:rFonts w:ascii="Times New Roman" w:hAnsi="Times New Roman" w:cs="Times New Roman"/>
          <w:sz w:val="24"/>
          <w:szCs w:val="24"/>
        </w:rPr>
      </w:pPr>
      <w:r w:rsidRPr="006A316D">
        <w:rPr>
          <w:rFonts w:ascii="Times New Roman" w:hAnsi="Times New Roman" w:cs="Times New Roman"/>
          <w:sz w:val="24"/>
          <w:szCs w:val="24"/>
        </w:rPr>
        <w:t>Lokal terapi uygun olmadığı durumlarda akut veya tekrarlayan vajinal kandidiyaz</w:t>
      </w:r>
    </w:p>
    <w:p w14:paraId="0434AD53" w14:textId="77777777" w:rsidR="00AB3EF3" w:rsidRPr="006A316D" w:rsidRDefault="00AB3EF3" w:rsidP="00AB3EF3">
      <w:pPr>
        <w:pStyle w:val="ListeParagraf"/>
        <w:numPr>
          <w:ilvl w:val="0"/>
          <w:numId w:val="1"/>
        </w:numPr>
        <w:tabs>
          <w:tab w:val="left" w:pos="284"/>
        </w:tabs>
        <w:spacing w:after="0" w:line="240" w:lineRule="auto"/>
        <w:ind w:left="567" w:hanging="283"/>
        <w:jc w:val="both"/>
        <w:rPr>
          <w:rFonts w:ascii="Times New Roman" w:hAnsi="Times New Roman" w:cs="Times New Roman"/>
          <w:sz w:val="24"/>
          <w:szCs w:val="24"/>
        </w:rPr>
      </w:pPr>
      <w:r w:rsidRPr="006A316D">
        <w:rPr>
          <w:rFonts w:ascii="Times New Roman" w:hAnsi="Times New Roman" w:cs="Times New Roman"/>
          <w:sz w:val="24"/>
          <w:szCs w:val="24"/>
        </w:rPr>
        <w:t>Lokal tedavi uygun olmadığı durumlarda Candidal balanitis</w:t>
      </w:r>
    </w:p>
    <w:p w14:paraId="73E9E9E5" w14:textId="77777777" w:rsidR="00AB3EF3" w:rsidRPr="006A316D" w:rsidRDefault="00AB3EF3" w:rsidP="00AB3EF3">
      <w:pPr>
        <w:pStyle w:val="ListeParagraf"/>
        <w:numPr>
          <w:ilvl w:val="0"/>
          <w:numId w:val="1"/>
        </w:numPr>
        <w:tabs>
          <w:tab w:val="left" w:pos="284"/>
        </w:tabs>
        <w:spacing w:after="0" w:line="240" w:lineRule="auto"/>
        <w:ind w:left="567" w:hanging="283"/>
        <w:jc w:val="both"/>
        <w:rPr>
          <w:rFonts w:ascii="Times New Roman" w:hAnsi="Times New Roman" w:cs="Times New Roman"/>
          <w:sz w:val="24"/>
          <w:szCs w:val="24"/>
        </w:rPr>
      </w:pPr>
      <w:r w:rsidRPr="006A316D">
        <w:rPr>
          <w:rFonts w:ascii="Times New Roman" w:hAnsi="Times New Roman" w:cs="Times New Roman"/>
          <w:sz w:val="24"/>
          <w:szCs w:val="24"/>
        </w:rPr>
        <w:t xml:space="preserve">Sistemik tedavi görüldüğünde </w:t>
      </w:r>
      <w:r w:rsidRPr="006A316D">
        <w:rPr>
          <w:rFonts w:ascii="Times New Roman" w:hAnsi="Times New Roman" w:cs="Times New Roman"/>
          <w:i/>
          <w:iCs/>
          <w:sz w:val="24"/>
          <w:szCs w:val="24"/>
        </w:rPr>
        <w:t>tinea pedis, tinea corporis, tinea cruris, tinea versicolo</w:t>
      </w:r>
      <w:r w:rsidRPr="006A316D">
        <w:rPr>
          <w:rFonts w:ascii="Times New Roman" w:hAnsi="Times New Roman" w:cs="Times New Roman"/>
          <w:sz w:val="24"/>
          <w:szCs w:val="24"/>
        </w:rPr>
        <w:t xml:space="preserve">r ve dermal </w:t>
      </w:r>
      <w:r w:rsidRPr="006A316D">
        <w:rPr>
          <w:rFonts w:ascii="Times New Roman" w:hAnsi="Times New Roman" w:cs="Times New Roman"/>
          <w:i/>
          <w:iCs/>
          <w:sz w:val="24"/>
          <w:szCs w:val="24"/>
        </w:rPr>
        <w:t>candida</w:t>
      </w:r>
      <w:r w:rsidRPr="006A316D">
        <w:rPr>
          <w:rFonts w:ascii="Times New Roman" w:hAnsi="Times New Roman" w:cs="Times New Roman"/>
          <w:sz w:val="24"/>
          <w:szCs w:val="24"/>
        </w:rPr>
        <w:t xml:space="preserve"> enfeksiyonlarını içeren dermatomikoz</w:t>
      </w:r>
    </w:p>
    <w:p w14:paraId="6FBEDE7D" w14:textId="77777777" w:rsidR="00AB3EF3" w:rsidRPr="006A316D" w:rsidRDefault="00AB3EF3" w:rsidP="00AB3EF3">
      <w:pPr>
        <w:pStyle w:val="ListeParagraf"/>
        <w:numPr>
          <w:ilvl w:val="0"/>
          <w:numId w:val="1"/>
        </w:numPr>
        <w:tabs>
          <w:tab w:val="left" w:pos="284"/>
        </w:tabs>
        <w:spacing w:after="0" w:line="240" w:lineRule="auto"/>
        <w:ind w:left="567" w:hanging="283"/>
        <w:jc w:val="both"/>
        <w:rPr>
          <w:rFonts w:ascii="Times New Roman" w:hAnsi="Times New Roman" w:cs="Times New Roman"/>
          <w:sz w:val="24"/>
          <w:szCs w:val="24"/>
        </w:rPr>
      </w:pPr>
      <w:r w:rsidRPr="006A316D">
        <w:rPr>
          <w:rFonts w:ascii="Times New Roman" w:hAnsi="Times New Roman" w:cs="Times New Roman"/>
          <w:sz w:val="24"/>
          <w:szCs w:val="24"/>
        </w:rPr>
        <w:t xml:space="preserve">Diğer tedavi seçenekleri uygun görülmediği durumlarda </w:t>
      </w:r>
      <w:r w:rsidRPr="006A316D">
        <w:rPr>
          <w:rFonts w:ascii="Times New Roman" w:hAnsi="Times New Roman" w:cs="Times New Roman"/>
          <w:i/>
          <w:iCs/>
          <w:sz w:val="24"/>
          <w:szCs w:val="24"/>
        </w:rPr>
        <w:t>Tinea unguinium (onikomikoz)</w:t>
      </w:r>
    </w:p>
    <w:p w14:paraId="086A5B9F" w14:textId="77777777" w:rsidR="00746BA6" w:rsidRPr="006A316D" w:rsidRDefault="00746BA6" w:rsidP="00746BA6">
      <w:pPr>
        <w:tabs>
          <w:tab w:val="left" w:pos="284"/>
        </w:tabs>
        <w:spacing w:after="0" w:line="240" w:lineRule="auto"/>
        <w:ind w:left="284"/>
        <w:jc w:val="both"/>
        <w:rPr>
          <w:rFonts w:ascii="Times New Roman" w:hAnsi="Times New Roman" w:cs="Times New Roman"/>
          <w:sz w:val="24"/>
          <w:szCs w:val="24"/>
        </w:rPr>
      </w:pPr>
    </w:p>
    <w:p w14:paraId="7349A020" w14:textId="77777777" w:rsidR="00AB3EF3" w:rsidRPr="006A316D" w:rsidRDefault="00AB3EF3" w:rsidP="00746BA6">
      <w:pPr>
        <w:tabs>
          <w:tab w:val="left" w:pos="284"/>
        </w:tabs>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yetişkinlerde aşağıdakilerin profilaksisinde endikedir:</w:t>
      </w:r>
    </w:p>
    <w:p w14:paraId="6A90E2C2" w14:textId="77777777" w:rsidR="00AB3EF3" w:rsidRPr="006A316D" w:rsidRDefault="00AB3EF3" w:rsidP="00AB3EF3">
      <w:pPr>
        <w:pStyle w:val="ListeParagraf"/>
        <w:numPr>
          <w:ilvl w:val="0"/>
          <w:numId w:val="1"/>
        </w:numPr>
        <w:tabs>
          <w:tab w:val="left" w:pos="284"/>
        </w:tabs>
        <w:spacing w:after="0" w:line="240" w:lineRule="auto"/>
        <w:ind w:left="567" w:hanging="283"/>
        <w:jc w:val="both"/>
        <w:rPr>
          <w:rFonts w:ascii="Times New Roman" w:hAnsi="Times New Roman" w:cs="Times New Roman"/>
          <w:sz w:val="24"/>
          <w:szCs w:val="24"/>
        </w:rPr>
      </w:pPr>
      <w:r w:rsidRPr="006A316D">
        <w:rPr>
          <w:rFonts w:ascii="Times New Roman" w:hAnsi="Times New Roman" w:cs="Times New Roman"/>
          <w:sz w:val="24"/>
          <w:szCs w:val="24"/>
        </w:rPr>
        <w:t>Yüksek nüks riski olan hastalarda kriptokok menenjitinin tekrarlanması</w:t>
      </w:r>
    </w:p>
    <w:p w14:paraId="5358257C" w14:textId="77777777" w:rsidR="00AB3EF3" w:rsidRPr="006A316D" w:rsidRDefault="00AB3EF3" w:rsidP="00AB3EF3">
      <w:pPr>
        <w:pStyle w:val="ListeParagraf"/>
        <w:numPr>
          <w:ilvl w:val="0"/>
          <w:numId w:val="1"/>
        </w:numPr>
        <w:tabs>
          <w:tab w:val="left" w:pos="284"/>
        </w:tabs>
        <w:spacing w:after="0" w:line="240" w:lineRule="auto"/>
        <w:ind w:left="567" w:hanging="283"/>
        <w:jc w:val="both"/>
        <w:rPr>
          <w:rFonts w:ascii="Times New Roman" w:hAnsi="Times New Roman" w:cs="Times New Roman"/>
          <w:sz w:val="24"/>
          <w:szCs w:val="24"/>
        </w:rPr>
      </w:pPr>
      <w:r w:rsidRPr="006A316D">
        <w:rPr>
          <w:rFonts w:ascii="Times New Roman" w:hAnsi="Times New Roman" w:cs="Times New Roman"/>
          <w:sz w:val="24"/>
          <w:szCs w:val="24"/>
        </w:rPr>
        <w:t>Relaps riski yüksek olan HIV ile enfekte olan hastalarda orofaringeal veya özofageal kandidiyazis nüksü</w:t>
      </w:r>
    </w:p>
    <w:p w14:paraId="77A2ED4C" w14:textId="77777777" w:rsidR="00AB3EF3" w:rsidRPr="006A316D" w:rsidRDefault="00AB3EF3" w:rsidP="00AB3EF3">
      <w:pPr>
        <w:pStyle w:val="ListeParagraf"/>
        <w:numPr>
          <w:ilvl w:val="0"/>
          <w:numId w:val="1"/>
        </w:numPr>
        <w:tabs>
          <w:tab w:val="left" w:pos="284"/>
        </w:tabs>
        <w:spacing w:after="0" w:line="240" w:lineRule="auto"/>
        <w:ind w:left="567" w:hanging="283"/>
        <w:jc w:val="both"/>
        <w:rPr>
          <w:rFonts w:ascii="Times New Roman" w:hAnsi="Times New Roman" w:cs="Times New Roman"/>
          <w:sz w:val="24"/>
          <w:szCs w:val="24"/>
        </w:rPr>
      </w:pPr>
      <w:r w:rsidRPr="006A316D">
        <w:rPr>
          <w:rFonts w:ascii="Times New Roman" w:hAnsi="Times New Roman" w:cs="Times New Roman"/>
          <w:sz w:val="24"/>
          <w:szCs w:val="24"/>
        </w:rPr>
        <w:t>Tekrarlayan vajinal kandidiyaz insidansını azaltmak (yılda 4 veya daha fazla atak)</w:t>
      </w:r>
    </w:p>
    <w:p w14:paraId="407661FD" w14:textId="77777777" w:rsidR="00AB3EF3" w:rsidRPr="006A316D" w:rsidRDefault="00AB3EF3" w:rsidP="00AB3EF3">
      <w:pPr>
        <w:pStyle w:val="ListeParagraf"/>
        <w:numPr>
          <w:ilvl w:val="0"/>
          <w:numId w:val="1"/>
        </w:numPr>
        <w:tabs>
          <w:tab w:val="left" w:pos="284"/>
        </w:tabs>
        <w:spacing w:after="0" w:line="240" w:lineRule="auto"/>
        <w:ind w:left="567" w:hanging="283"/>
        <w:jc w:val="both"/>
        <w:rPr>
          <w:rFonts w:ascii="Times New Roman" w:hAnsi="Times New Roman" w:cs="Times New Roman"/>
          <w:sz w:val="24"/>
          <w:szCs w:val="24"/>
        </w:rPr>
      </w:pPr>
      <w:r w:rsidRPr="006A316D">
        <w:rPr>
          <w:rFonts w:ascii="Times New Roman" w:hAnsi="Times New Roman" w:cs="Times New Roman"/>
          <w:sz w:val="24"/>
          <w:szCs w:val="24"/>
        </w:rPr>
        <w:t>Uzamış nötropenisi olan hastalarda kandidal enfeksiyonların profilaksisi (Örn. kemoterapi alan hematopoetik maligniteleri olan hastalar veya hematopoietik kök hücre transplantasyonu alan hastalar gibi) (</w:t>
      </w:r>
      <w:r w:rsidR="00460A70" w:rsidRPr="006A316D">
        <w:rPr>
          <w:rFonts w:ascii="Times New Roman" w:hAnsi="Times New Roman" w:cs="Times New Roman"/>
          <w:sz w:val="24"/>
          <w:szCs w:val="24"/>
        </w:rPr>
        <w:t>B</w:t>
      </w:r>
      <w:r w:rsidRPr="006A316D">
        <w:rPr>
          <w:rFonts w:ascii="Times New Roman" w:hAnsi="Times New Roman" w:cs="Times New Roman"/>
          <w:sz w:val="24"/>
          <w:szCs w:val="24"/>
        </w:rPr>
        <w:t>kz. Bölüm 5.1)</w:t>
      </w:r>
    </w:p>
    <w:p w14:paraId="1899F79C" w14:textId="77777777" w:rsidR="00AB3EF3" w:rsidRPr="006A316D" w:rsidRDefault="00AB3EF3" w:rsidP="00AB3EF3">
      <w:pPr>
        <w:tabs>
          <w:tab w:val="left" w:pos="284"/>
        </w:tabs>
        <w:spacing w:after="0" w:line="240" w:lineRule="auto"/>
        <w:ind w:left="284"/>
        <w:jc w:val="both"/>
        <w:rPr>
          <w:rFonts w:ascii="Times New Roman" w:hAnsi="Times New Roman" w:cs="Times New Roman"/>
          <w:sz w:val="24"/>
          <w:szCs w:val="24"/>
        </w:rPr>
      </w:pPr>
    </w:p>
    <w:p w14:paraId="65BCE733" w14:textId="77777777" w:rsidR="00AB3EF3" w:rsidRPr="006A316D" w:rsidRDefault="00AB3EF3" w:rsidP="00AB3EF3">
      <w:pPr>
        <w:tabs>
          <w:tab w:val="left" w:pos="284"/>
        </w:tabs>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yaşları 0-17 arasında değişen yenidoğan bebekler, bebekler, küçük çocuklar, çocuklar ve adolesanlarda endikedir:</w:t>
      </w:r>
    </w:p>
    <w:p w14:paraId="1AFE6CF7" w14:textId="77777777" w:rsidR="00AB3EF3" w:rsidRPr="006A316D" w:rsidRDefault="00AB3EF3" w:rsidP="00AB3EF3">
      <w:pPr>
        <w:tabs>
          <w:tab w:val="left" w:pos="284"/>
        </w:tabs>
        <w:spacing w:after="0" w:line="240" w:lineRule="auto"/>
        <w:ind w:left="284"/>
        <w:jc w:val="both"/>
        <w:rPr>
          <w:rFonts w:ascii="Times New Roman" w:hAnsi="Times New Roman" w:cs="Times New Roman"/>
          <w:sz w:val="24"/>
          <w:szCs w:val="24"/>
        </w:rPr>
      </w:pPr>
    </w:p>
    <w:p w14:paraId="2DA7069D" w14:textId="77777777" w:rsidR="00AB3EF3" w:rsidRPr="006A316D" w:rsidRDefault="00317542" w:rsidP="00AB3EF3">
      <w:pPr>
        <w:tabs>
          <w:tab w:val="left" w:pos="284"/>
        </w:tabs>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Flukonazol, immün sistemi baskılanmış hastalarda mukozal kandidiyaz (orofaringeal, özofageal), invazif kandidiyazis, kriptokok menenjit ve kandidal enfeksiyonların profilaksi </w:t>
      </w:r>
      <w:r w:rsidR="00AB3EF3" w:rsidRPr="006A316D">
        <w:rPr>
          <w:rFonts w:ascii="Times New Roman" w:hAnsi="Times New Roman" w:cs="Times New Roman"/>
          <w:sz w:val="24"/>
          <w:szCs w:val="24"/>
        </w:rPr>
        <w:lastRenderedPageBreak/>
        <w:t>tedavisinde kullanılır. Flukonazol, tekrarlama riski yüksek olan çocuklarda kriptokok menenjitinin nüksünü önlemek için idame tedavisi olarak kullanılabilir (</w:t>
      </w:r>
      <w:r w:rsidR="004E53AD" w:rsidRPr="006A316D">
        <w:rPr>
          <w:rFonts w:ascii="Times New Roman" w:hAnsi="Times New Roman" w:cs="Times New Roman"/>
          <w:sz w:val="24"/>
          <w:szCs w:val="24"/>
        </w:rPr>
        <w:t>B</w:t>
      </w:r>
      <w:r w:rsidR="00AB3EF3" w:rsidRPr="006A316D">
        <w:rPr>
          <w:rFonts w:ascii="Times New Roman" w:hAnsi="Times New Roman" w:cs="Times New Roman"/>
          <w:sz w:val="24"/>
          <w:szCs w:val="24"/>
        </w:rPr>
        <w:t xml:space="preserve">kz. Bölüm 4.4). </w:t>
      </w:r>
    </w:p>
    <w:p w14:paraId="7BB5886D" w14:textId="77777777" w:rsidR="00AB3EF3" w:rsidRPr="006A316D" w:rsidRDefault="00AB3EF3" w:rsidP="00AB3EF3">
      <w:pPr>
        <w:tabs>
          <w:tab w:val="left" w:pos="284"/>
        </w:tabs>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Kültür sonuçlarından önce ve diğer laboratuvar sonuçları biliniyorsa tedaviye başlanabilir. Bununla birlikte, bu kültür sonuçları elde edildiğinde anti enfektif tedavi buna göre ayarlanmalıdır.</w:t>
      </w:r>
    </w:p>
    <w:p w14:paraId="7E3FC42A" w14:textId="77777777" w:rsidR="00317542" w:rsidRPr="006A316D" w:rsidRDefault="00317542" w:rsidP="00AB3EF3">
      <w:pPr>
        <w:tabs>
          <w:tab w:val="left" w:pos="284"/>
        </w:tabs>
        <w:spacing w:after="0" w:line="240" w:lineRule="auto"/>
        <w:ind w:left="284"/>
        <w:jc w:val="both"/>
        <w:rPr>
          <w:rFonts w:ascii="Times New Roman" w:hAnsi="Times New Roman" w:cs="Times New Roman"/>
          <w:sz w:val="24"/>
          <w:szCs w:val="24"/>
        </w:rPr>
      </w:pPr>
    </w:p>
    <w:p w14:paraId="6F558826" w14:textId="77777777" w:rsidR="00317542" w:rsidRPr="006A316D" w:rsidRDefault="00317542" w:rsidP="00AB3EF3">
      <w:pPr>
        <w:tabs>
          <w:tab w:val="left" w:pos="284"/>
        </w:tabs>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Antifungallerin uygun kullanımı konusunda resmi kılavuzlara dikkat edilmelidir.</w:t>
      </w:r>
    </w:p>
    <w:p w14:paraId="3F55149D" w14:textId="77777777" w:rsidR="00ED2805" w:rsidRPr="006A316D" w:rsidRDefault="00ED2805" w:rsidP="00ED2805">
      <w:pPr>
        <w:spacing w:after="0" w:line="240" w:lineRule="auto"/>
        <w:jc w:val="both"/>
        <w:rPr>
          <w:rFonts w:ascii="Times New Roman" w:hAnsi="Times New Roman" w:cs="Times New Roman"/>
          <w:sz w:val="24"/>
          <w:szCs w:val="24"/>
        </w:rPr>
      </w:pPr>
    </w:p>
    <w:p w14:paraId="3E0499C9" w14:textId="77777777" w:rsidR="00ED2805" w:rsidRPr="006A316D" w:rsidRDefault="00ED2805" w:rsidP="001E74BF">
      <w:pPr>
        <w:spacing w:after="6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4.2. Pozoloji ve uygulama şekli</w:t>
      </w:r>
    </w:p>
    <w:p w14:paraId="518C8A30" w14:textId="77777777" w:rsidR="00665BAD" w:rsidRPr="006A316D" w:rsidRDefault="00665BAD" w:rsidP="00665BAD">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 xml:space="preserve">Pozoloji/uygulama sıklığı ve süresi: </w:t>
      </w:r>
    </w:p>
    <w:p w14:paraId="179E28EF" w14:textId="77777777" w:rsidR="00665BAD" w:rsidRPr="006A316D" w:rsidRDefault="00665BAD" w:rsidP="00665BAD">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 xml:space="preserve">Pozoloji </w:t>
      </w:r>
    </w:p>
    <w:p w14:paraId="299515F8" w14:textId="77777777" w:rsidR="00665BAD" w:rsidRPr="006A316D" w:rsidRDefault="00665BAD" w:rsidP="00665BAD">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Doz ayarlaması, mantar enfeksiyonunun niteliğine ve şiddetine göre yapılmalıdır. Çoklu doz gerektiren enfeksiyonların tedavisi, klinik parametreler veya laboratuvar testleri aktif mantar enfeksiyonunun azaldığını gösterene kadar sürdürülmelidir. Yetersiz tedavi süresi, aktif enfeksiyonun nüksetmesine neden olabilir. </w:t>
      </w:r>
    </w:p>
    <w:p w14:paraId="577886F6" w14:textId="77777777" w:rsidR="00665BAD" w:rsidRPr="006A316D" w:rsidRDefault="00665BAD" w:rsidP="00665BAD">
      <w:pPr>
        <w:spacing w:after="0" w:line="240" w:lineRule="auto"/>
        <w:ind w:left="284"/>
        <w:jc w:val="both"/>
        <w:rPr>
          <w:rFonts w:ascii="Times New Roman" w:hAnsi="Times New Roman" w:cs="Times New Roman"/>
          <w:sz w:val="24"/>
          <w:szCs w:val="24"/>
        </w:rPr>
      </w:pPr>
    </w:p>
    <w:p w14:paraId="45DE6A3A" w14:textId="77777777" w:rsidR="00665BAD" w:rsidRPr="006A316D" w:rsidRDefault="00665BAD" w:rsidP="00665BAD">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 xml:space="preserve">Yetişkinlerde kullanımı </w:t>
      </w:r>
    </w:p>
    <w:p w14:paraId="009E0B44" w14:textId="77777777" w:rsidR="00665BAD" w:rsidRPr="006A316D" w:rsidRDefault="00665BAD" w:rsidP="00665BAD">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Aşağıdaki pozolojiye uygun diğer flukonazol preperatları gerekebilir. </w:t>
      </w:r>
    </w:p>
    <w:p w14:paraId="4A22DB29" w14:textId="77777777" w:rsidR="00F776AF" w:rsidRPr="006A316D" w:rsidRDefault="00665BAD" w:rsidP="00665BAD">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Doktor tarafından başka şekilde önerilmediği takdirde:</w:t>
      </w:r>
    </w:p>
    <w:p w14:paraId="363E9B39" w14:textId="77777777" w:rsidR="00F776AF" w:rsidRPr="006A316D" w:rsidRDefault="00F776AF" w:rsidP="00910A0A">
      <w:pPr>
        <w:spacing w:after="0" w:line="240" w:lineRule="auto"/>
        <w:ind w:left="284"/>
        <w:jc w:val="both"/>
        <w:rPr>
          <w:rFonts w:ascii="Times New Roman" w:hAnsi="Times New Roman" w:cs="Times New Roman"/>
          <w:sz w:val="24"/>
          <w:szCs w:val="24"/>
        </w:rPr>
      </w:pPr>
    </w:p>
    <w:tbl>
      <w:tblPr>
        <w:tblStyle w:val="TabloKlavuzu"/>
        <w:tblW w:w="8788" w:type="dxa"/>
        <w:tblInd w:w="392" w:type="dxa"/>
        <w:tblLayout w:type="fixed"/>
        <w:tblLook w:val="04A0" w:firstRow="1" w:lastRow="0" w:firstColumn="1" w:lastColumn="0" w:noHBand="0" w:noVBand="1"/>
      </w:tblPr>
      <w:tblGrid>
        <w:gridCol w:w="2126"/>
        <w:gridCol w:w="1559"/>
        <w:gridCol w:w="2694"/>
        <w:gridCol w:w="2409"/>
      </w:tblGrid>
      <w:tr w:rsidR="006A316D" w:rsidRPr="006A316D" w14:paraId="6BA0069F" w14:textId="77777777" w:rsidTr="00933F4B">
        <w:tc>
          <w:tcPr>
            <w:tcW w:w="3685" w:type="dxa"/>
            <w:gridSpan w:val="2"/>
            <w:shd w:val="clear" w:color="auto" w:fill="A6A6A6" w:themeFill="background1" w:themeFillShade="A6"/>
          </w:tcPr>
          <w:p w14:paraId="1AD5AB28" w14:textId="77777777" w:rsidR="00665BAD" w:rsidRPr="006A316D" w:rsidRDefault="00665BAD" w:rsidP="00014695">
            <w:pPr>
              <w:pStyle w:val="Default"/>
              <w:rPr>
                <w:color w:val="auto"/>
              </w:rPr>
            </w:pPr>
            <w:r w:rsidRPr="006A316D">
              <w:rPr>
                <w:b/>
                <w:bCs/>
                <w:color w:val="auto"/>
              </w:rPr>
              <w:t xml:space="preserve">Endikasyonlar </w:t>
            </w:r>
          </w:p>
        </w:tc>
        <w:tc>
          <w:tcPr>
            <w:tcW w:w="2694" w:type="dxa"/>
            <w:shd w:val="clear" w:color="auto" w:fill="A6A6A6" w:themeFill="background1" w:themeFillShade="A6"/>
          </w:tcPr>
          <w:p w14:paraId="1213E205" w14:textId="77777777" w:rsidR="00665BAD" w:rsidRPr="006A316D" w:rsidRDefault="00665BAD" w:rsidP="00014695">
            <w:pPr>
              <w:pStyle w:val="Default"/>
              <w:rPr>
                <w:color w:val="auto"/>
              </w:rPr>
            </w:pPr>
            <w:r w:rsidRPr="006A316D">
              <w:rPr>
                <w:b/>
                <w:bCs/>
                <w:color w:val="auto"/>
              </w:rPr>
              <w:t xml:space="preserve">Pozoloji </w:t>
            </w:r>
          </w:p>
        </w:tc>
        <w:tc>
          <w:tcPr>
            <w:tcW w:w="2409" w:type="dxa"/>
            <w:shd w:val="clear" w:color="auto" w:fill="A6A6A6" w:themeFill="background1" w:themeFillShade="A6"/>
          </w:tcPr>
          <w:p w14:paraId="1FD28E0B" w14:textId="77777777" w:rsidR="00665BAD" w:rsidRPr="006A316D" w:rsidRDefault="00665BAD" w:rsidP="00014695">
            <w:pPr>
              <w:pStyle w:val="Default"/>
              <w:rPr>
                <w:color w:val="auto"/>
              </w:rPr>
            </w:pPr>
            <w:r w:rsidRPr="006A316D">
              <w:rPr>
                <w:b/>
                <w:bCs/>
                <w:color w:val="auto"/>
              </w:rPr>
              <w:t xml:space="preserve">Tedavinin süresi </w:t>
            </w:r>
          </w:p>
        </w:tc>
      </w:tr>
      <w:tr w:rsidR="006A316D" w:rsidRPr="006A316D" w14:paraId="29F47A85" w14:textId="77777777" w:rsidTr="00933F4B">
        <w:tc>
          <w:tcPr>
            <w:tcW w:w="2126" w:type="dxa"/>
            <w:vMerge w:val="restart"/>
          </w:tcPr>
          <w:p w14:paraId="752AFEAA" w14:textId="77777777" w:rsidR="00014695" w:rsidRPr="006A316D" w:rsidRDefault="00014695" w:rsidP="00014695">
            <w:pPr>
              <w:pStyle w:val="Default"/>
              <w:rPr>
                <w:color w:val="auto"/>
              </w:rPr>
            </w:pPr>
            <w:r w:rsidRPr="006A316D">
              <w:rPr>
                <w:b/>
                <w:bCs/>
                <w:color w:val="auto"/>
              </w:rPr>
              <w:t xml:space="preserve">Kriptokokoz </w:t>
            </w:r>
          </w:p>
        </w:tc>
        <w:tc>
          <w:tcPr>
            <w:tcW w:w="1559" w:type="dxa"/>
          </w:tcPr>
          <w:p w14:paraId="0D78B82C" w14:textId="77777777" w:rsidR="00014695" w:rsidRPr="006A316D" w:rsidRDefault="00014695" w:rsidP="00933F4B">
            <w:pPr>
              <w:pStyle w:val="Default"/>
              <w:ind w:right="-101"/>
              <w:rPr>
                <w:color w:val="auto"/>
              </w:rPr>
            </w:pPr>
            <w:r w:rsidRPr="006A316D">
              <w:rPr>
                <w:color w:val="auto"/>
              </w:rPr>
              <w:t xml:space="preserve">Kriptokokal menenjit tedavisinde </w:t>
            </w:r>
          </w:p>
        </w:tc>
        <w:tc>
          <w:tcPr>
            <w:tcW w:w="2694" w:type="dxa"/>
          </w:tcPr>
          <w:p w14:paraId="6B3E1F90" w14:textId="77777777" w:rsidR="00014695" w:rsidRPr="006A316D" w:rsidRDefault="00014695" w:rsidP="00014695">
            <w:pPr>
              <w:pStyle w:val="Default"/>
              <w:rPr>
                <w:color w:val="auto"/>
              </w:rPr>
            </w:pPr>
            <w:r w:rsidRPr="006A316D">
              <w:rPr>
                <w:color w:val="auto"/>
              </w:rPr>
              <w:t xml:space="preserve">Yükleme dozu: </w:t>
            </w:r>
          </w:p>
          <w:p w14:paraId="494DBE44" w14:textId="77777777" w:rsidR="00014695" w:rsidRPr="006A316D" w:rsidRDefault="00014695" w:rsidP="00014695">
            <w:pPr>
              <w:pStyle w:val="Default"/>
              <w:rPr>
                <w:color w:val="auto"/>
              </w:rPr>
            </w:pPr>
            <w:r w:rsidRPr="006A316D">
              <w:rPr>
                <w:color w:val="auto"/>
              </w:rPr>
              <w:t xml:space="preserve">1. günde 400 mg </w:t>
            </w:r>
          </w:p>
          <w:p w14:paraId="4689005C" w14:textId="77777777" w:rsidR="00014695" w:rsidRPr="006A316D" w:rsidRDefault="00014695" w:rsidP="00014695">
            <w:pPr>
              <w:rPr>
                <w:rFonts w:ascii="Times New Roman" w:hAnsi="Times New Roman" w:cs="Times New Roman"/>
                <w:sz w:val="24"/>
                <w:szCs w:val="24"/>
              </w:rPr>
            </w:pPr>
            <w:r w:rsidRPr="006A316D">
              <w:rPr>
                <w:rFonts w:ascii="Times New Roman" w:hAnsi="Times New Roman" w:cs="Times New Roman"/>
                <w:sz w:val="24"/>
                <w:szCs w:val="24"/>
              </w:rPr>
              <w:t xml:space="preserve">Sonraki doz: günde bir kez 200 mg - 400 mg </w:t>
            </w:r>
          </w:p>
        </w:tc>
        <w:tc>
          <w:tcPr>
            <w:tcW w:w="2409" w:type="dxa"/>
          </w:tcPr>
          <w:p w14:paraId="10DF921B" w14:textId="77777777" w:rsidR="00014695" w:rsidRPr="006A316D" w:rsidRDefault="00014695" w:rsidP="00014695">
            <w:pPr>
              <w:pStyle w:val="Default"/>
              <w:rPr>
                <w:color w:val="auto"/>
              </w:rPr>
            </w:pPr>
            <w:r w:rsidRPr="006A316D">
              <w:rPr>
                <w:color w:val="auto"/>
              </w:rPr>
              <w:t xml:space="preserve">Genellikle en az 6-8 hafta. </w:t>
            </w:r>
          </w:p>
          <w:p w14:paraId="6BF4D0A0" w14:textId="77777777" w:rsidR="00014695" w:rsidRPr="006A316D" w:rsidRDefault="00014695" w:rsidP="00014695">
            <w:pPr>
              <w:rPr>
                <w:rFonts w:ascii="Times New Roman" w:hAnsi="Times New Roman" w:cs="Times New Roman"/>
                <w:sz w:val="24"/>
                <w:szCs w:val="24"/>
              </w:rPr>
            </w:pPr>
            <w:r w:rsidRPr="006A316D">
              <w:rPr>
                <w:rFonts w:ascii="Times New Roman" w:hAnsi="Times New Roman" w:cs="Times New Roman"/>
                <w:sz w:val="24"/>
                <w:szCs w:val="24"/>
              </w:rPr>
              <w:t xml:space="preserve">Hayatı tehdit eden enfeksiyonlarda günlük doz 800 mg'a çıkarılabilir. </w:t>
            </w:r>
          </w:p>
        </w:tc>
      </w:tr>
      <w:tr w:rsidR="006A316D" w:rsidRPr="006A316D" w14:paraId="5434FBA7" w14:textId="77777777" w:rsidTr="00933F4B">
        <w:tc>
          <w:tcPr>
            <w:tcW w:w="2126" w:type="dxa"/>
            <w:vMerge/>
          </w:tcPr>
          <w:p w14:paraId="230D057A" w14:textId="77777777" w:rsidR="00014695" w:rsidRPr="006A316D" w:rsidRDefault="00014695" w:rsidP="00014695">
            <w:pPr>
              <w:rPr>
                <w:rFonts w:ascii="Times New Roman" w:hAnsi="Times New Roman" w:cs="Times New Roman"/>
                <w:sz w:val="24"/>
                <w:szCs w:val="24"/>
              </w:rPr>
            </w:pPr>
          </w:p>
        </w:tc>
        <w:tc>
          <w:tcPr>
            <w:tcW w:w="1559" w:type="dxa"/>
          </w:tcPr>
          <w:p w14:paraId="4597E5E6" w14:textId="77777777" w:rsidR="00014695" w:rsidRPr="006A316D" w:rsidRDefault="00014695" w:rsidP="00933F4B">
            <w:pPr>
              <w:pStyle w:val="Default"/>
              <w:ind w:right="-101"/>
              <w:rPr>
                <w:color w:val="auto"/>
              </w:rPr>
            </w:pPr>
            <w:r w:rsidRPr="006A316D">
              <w:rPr>
                <w:color w:val="auto"/>
              </w:rPr>
              <w:t xml:space="preserve">Yüksek nüks riski olan hastalarda kriptokok menenjitinin tekrarlamasını önlemek için devam tedavisi. </w:t>
            </w:r>
          </w:p>
        </w:tc>
        <w:tc>
          <w:tcPr>
            <w:tcW w:w="2694" w:type="dxa"/>
          </w:tcPr>
          <w:p w14:paraId="6F5B7474" w14:textId="77777777" w:rsidR="00014695" w:rsidRPr="006A316D" w:rsidRDefault="00014695" w:rsidP="00014695">
            <w:pPr>
              <w:pStyle w:val="Default"/>
              <w:rPr>
                <w:color w:val="auto"/>
              </w:rPr>
            </w:pPr>
            <w:r w:rsidRPr="006A316D">
              <w:rPr>
                <w:color w:val="auto"/>
              </w:rPr>
              <w:t xml:space="preserve">Günde bir kez </w:t>
            </w:r>
          </w:p>
          <w:p w14:paraId="228F866C" w14:textId="77777777" w:rsidR="00014695" w:rsidRPr="006A316D" w:rsidRDefault="00014695" w:rsidP="00014695">
            <w:pPr>
              <w:pStyle w:val="Default"/>
              <w:rPr>
                <w:color w:val="auto"/>
              </w:rPr>
            </w:pPr>
            <w:r w:rsidRPr="006A316D">
              <w:rPr>
                <w:color w:val="auto"/>
              </w:rPr>
              <w:t xml:space="preserve">200 mg </w:t>
            </w:r>
          </w:p>
          <w:p w14:paraId="77248F82" w14:textId="77777777" w:rsidR="00014695" w:rsidRPr="006A316D" w:rsidRDefault="00014695" w:rsidP="00014695">
            <w:pPr>
              <w:rPr>
                <w:rFonts w:ascii="Times New Roman" w:hAnsi="Times New Roman" w:cs="Times New Roman"/>
                <w:sz w:val="24"/>
                <w:szCs w:val="24"/>
              </w:rPr>
            </w:pPr>
          </w:p>
        </w:tc>
        <w:tc>
          <w:tcPr>
            <w:tcW w:w="2409" w:type="dxa"/>
          </w:tcPr>
          <w:p w14:paraId="50A269DC" w14:textId="77777777" w:rsidR="00014695" w:rsidRPr="006A316D" w:rsidRDefault="00014695" w:rsidP="00014695">
            <w:pPr>
              <w:pStyle w:val="Default"/>
              <w:rPr>
                <w:color w:val="auto"/>
              </w:rPr>
            </w:pPr>
            <w:r w:rsidRPr="006A316D">
              <w:rPr>
                <w:color w:val="auto"/>
              </w:rPr>
              <w:t xml:space="preserve">Belirsiz süre olmak üzere günlük 200 mg </w:t>
            </w:r>
          </w:p>
          <w:p w14:paraId="01C3EBAD" w14:textId="77777777" w:rsidR="00014695" w:rsidRPr="006A316D" w:rsidRDefault="00014695" w:rsidP="00014695">
            <w:pPr>
              <w:rPr>
                <w:rFonts w:ascii="Times New Roman" w:hAnsi="Times New Roman" w:cs="Times New Roman"/>
                <w:sz w:val="24"/>
                <w:szCs w:val="24"/>
              </w:rPr>
            </w:pPr>
          </w:p>
        </w:tc>
      </w:tr>
      <w:tr w:rsidR="006A316D" w:rsidRPr="006A316D" w14:paraId="7448A8AD" w14:textId="77777777" w:rsidTr="00933F4B">
        <w:tc>
          <w:tcPr>
            <w:tcW w:w="2126" w:type="dxa"/>
          </w:tcPr>
          <w:p w14:paraId="0FA70B2B" w14:textId="77777777" w:rsidR="00665BAD" w:rsidRPr="006A316D" w:rsidRDefault="00014695" w:rsidP="00933F4B">
            <w:pPr>
              <w:pStyle w:val="Default"/>
              <w:ind w:right="-116"/>
              <w:rPr>
                <w:color w:val="auto"/>
              </w:rPr>
            </w:pPr>
            <w:r w:rsidRPr="006A316D">
              <w:rPr>
                <w:b/>
                <w:bCs/>
                <w:color w:val="auto"/>
              </w:rPr>
              <w:t xml:space="preserve">Koksidiyoidomikoz </w:t>
            </w:r>
          </w:p>
        </w:tc>
        <w:tc>
          <w:tcPr>
            <w:tcW w:w="1559" w:type="dxa"/>
          </w:tcPr>
          <w:p w14:paraId="16641E68" w14:textId="77777777" w:rsidR="00665BAD" w:rsidRPr="006A316D" w:rsidRDefault="00665BAD" w:rsidP="00933F4B">
            <w:pPr>
              <w:ind w:right="-101"/>
              <w:rPr>
                <w:rFonts w:ascii="Times New Roman" w:hAnsi="Times New Roman" w:cs="Times New Roman"/>
                <w:sz w:val="24"/>
                <w:szCs w:val="24"/>
              </w:rPr>
            </w:pPr>
          </w:p>
        </w:tc>
        <w:tc>
          <w:tcPr>
            <w:tcW w:w="2694" w:type="dxa"/>
          </w:tcPr>
          <w:p w14:paraId="19EF2E96" w14:textId="77777777" w:rsidR="00665BAD" w:rsidRPr="006A316D" w:rsidRDefault="00014695" w:rsidP="00014695">
            <w:pPr>
              <w:pStyle w:val="Default"/>
              <w:rPr>
                <w:color w:val="auto"/>
              </w:rPr>
            </w:pPr>
            <w:r w:rsidRPr="006A316D">
              <w:rPr>
                <w:color w:val="auto"/>
              </w:rPr>
              <w:t xml:space="preserve">Günde bir kez 200 mg – 400 mg </w:t>
            </w:r>
          </w:p>
        </w:tc>
        <w:tc>
          <w:tcPr>
            <w:tcW w:w="2409" w:type="dxa"/>
          </w:tcPr>
          <w:p w14:paraId="07DAE9D1" w14:textId="77777777" w:rsidR="00665BAD" w:rsidRPr="006A316D" w:rsidRDefault="00014695" w:rsidP="00014695">
            <w:pPr>
              <w:pStyle w:val="Default"/>
              <w:rPr>
                <w:color w:val="auto"/>
              </w:rPr>
            </w:pPr>
            <w:r w:rsidRPr="006A316D">
              <w:rPr>
                <w:color w:val="auto"/>
              </w:rPr>
              <w:t xml:space="preserve">11 ila 24 ay veya hastaya bağlı olarak daha uzun süre. Bazı enfeksiyonlar için ve özellikle meninjiyal hastalık için günde 800 mg düşünülebilir. </w:t>
            </w:r>
          </w:p>
        </w:tc>
      </w:tr>
      <w:tr w:rsidR="006A316D" w:rsidRPr="006A316D" w14:paraId="24A5F01F" w14:textId="77777777" w:rsidTr="00933F4B">
        <w:tc>
          <w:tcPr>
            <w:tcW w:w="2126" w:type="dxa"/>
          </w:tcPr>
          <w:p w14:paraId="227BE611" w14:textId="77777777" w:rsidR="00665BAD" w:rsidRPr="006A316D" w:rsidRDefault="00014695" w:rsidP="00014695">
            <w:pPr>
              <w:pStyle w:val="Default"/>
              <w:rPr>
                <w:color w:val="auto"/>
              </w:rPr>
            </w:pPr>
            <w:r w:rsidRPr="006A316D">
              <w:rPr>
                <w:b/>
                <w:bCs/>
                <w:color w:val="auto"/>
              </w:rPr>
              <w:t xml:space="preserve">İnvazif kandidiyazis </w:t>
            </w:r>
          </w:p>
        </w:tc>
        <w:tc>
          <w:tcPr>
            <w:tcW w:w="1559" w:type="dxa"/>
          </w:tcPr>
          <w:p w14:paraId="0635DF57" w14:textId="77777777" w:rsidR="00665BAD" w:rsidRPr="006A316D" w:rsidRDefault="00665BAD" w:rsidP="00933F4B">
            <w:pPr>
              <w:ind w:right="-101"/>
              <w:rPr>
                <w:rFonts w:ascii="Times New Roman" w:hAnsi="Times New Roman" w:cs="Times New Roman"/>
                <w:sz w:val="24"/>
                <w:szCs w:val="24"/>
              </w:rPr>
            </w:pPr>
          </w:p>
        </w:tc>
        <w:tc>
          <w:tcPr>
            <w:tcW w:w="2694" w:type="dxa"/>
          </w:tcPr>
          <w:p w14:paraId="5BC5B2D1" w14:textId="77777777" w:rsidR="00014695" w:rsidRPr="006A316D" w:rsidRDefault="00014695" w:rsidP="00014695">
            <w:pPr>
              <w:pStyle w:val="Default"/>
              <w:rPr>
                <w:color w:val="auto"/>
              </w:rPr>
            </w:pPr>
            <w:r w:rsidRPr="006A316D">
              <w:rPr>
                <w:color w:val="auto"/>
              </w:rPr>
              <w:t xml:space="preserve">Yükleme dozu: 1. günde 800 mg </w:t>
            </w:r>
          </w:p>
          <w:p w14:paraId="4A69EE31" w14:textId="77777777" w:rsidR="00665BAD" w:rsidRPr="006A316D" w:rsidRDefault="00014695" w:rsidP="00014695">
            <w:pPr>
              <w:rPr>
                <w:rFonts w:ascii="Times New Roman" w:hAnsi="Times New Roman" w:cs="Times New Roman"/>
                <w:sz w:val="24"/>
                <w:szCs w:val="24"/>
              </w:rPr>
            </w:pPr>
            <w:r w:rsidRPr="006A316D">
              <w:rPr>
                <w:rFonts w:ascii="Times New Roman" w:hAnsi="Times New Roman" w:cs="Times New Roman"/>
                <w:sz w:val="24"/>
                <w:szCs w:val="24"/>
              </w:rPr>
              <w:t xml:space="preserve">Sonraki doz: günde bir kez 400 mg </w:t>
            </w:r>
          </w:p>
        </w:tc>
        <w:tc>
          <w:tcPr>
            <w:tcW w:w="2409" w:type="dxa"/>
          </w:tcPr>
          <w:p w14:paraId="5CE3A7B7" w14:textId="77777777" w:rsidR="00665BAD" w:rsidRPr="006A316D" w:rsidRDefault="00014695" w:rsidP="00014695">
            <w:pPr>
              <w:pStyle w:val="Default"/>
              <w:rPr>
                <w:color w:val="auto"/>
              </w:rPr>
            </w:pPr>
            <w:r w:rsidRPr="006A316D">
              <w:rPr>
                <w:color w:val="auto"/>
              </w:rPr>
              <w:t xml:space="preserve">Genellikle, kandidemi için önerilen tedavi süresi ilk negatif kan kültürü sonucundan 2 hafta sonrasına ve kandidemiye yönelik belirti ve </w:t>
            </w:r>
            <w:r w:rsidRPr="006A316D">
              <w:rPr>
                <w:color w:val="auto"/>
              </w:rPr>
              <w:lastRenderedPageBreak/>
              <w:t xml:space="preserve">semptomların ortadan kalkmasına kadar. </w:t>
            </w:r>
          </w:p>
        </w:tc>
      </w:tr>
      <w:tr w:rsidR="006A316D" w:rsidRPr="006A316D" w14:paraId="2B0A7870" w14:textId="77777777" w:rsidTr="00933F4B">
        <w:tc>
          <w:tcPr>
            <w:tcW w:w="2126" w:type="dxa"/>
            <w:vMerge w:val="restart"/>
          </w:tcPr>
          <w:p w14:paraId="0CF9AA89" w14:textId="77777777" w:rsidR="00014695" w:rsidRPr="006A316D" w:rsidRDefault="00014695" w:rsidP="00014695">
            <w:pPr>
              <w:pStyle w:val="Default"/>
              <w:rPr>
                <w:color w:val="auto"/>
              </w:rPr>
            </w:pPr>
            <w:r w:rsidRPr="006A316D">
              <w:rPr>
                <w:b/>
                <w:bCs/>
                <w:color w:val="auto"/>
              </w:rPr>
              <w:lastRenderedPageBreak/>
              <w:t xml:space="preserve">Mukozal kandidiyazis </w:t>
            </w:r>
          </w:p>
        </w:tc>
        <w:tc>
          <w:tcPr>
            <w:tcW w:w="1559" w:type="dxa"/>
          </w:tcPr>
          <w:p w14:paraId="610FF201" w14:textId="77777777" w:rsidR="00014695" w:rsidRPr="006A316D" w:rsidRDefault="00014695" w:rsidP="00933F4B">
            <w:pPr>
              <w:pStyle w:val="Default"/>
              <w:ind w:right="-101"/>
              <w:rPr>
                <w:color w:val="auto"/>
              </w:rPr>
            </w:pPr>
            <w:r w:rsidRPr="006A316D">
              <w:rPr>
                <w:color w:val="auto"/>
              </w:rPr>
              <w:t xml:space="preserve">Orofarengeal kandidiyazis </w:t>
            </w:r>
          </w:p>
        </w:tc>
        <w:tc>
          <w:tcPr>
            <w:tcW w:w="2694" w:type="dxa"/>
          </w:tcPr>
          <w:p w14:paraId="3BC3FEF5" w14:textId="77777777" w:rsidR="00014695" w:rsidRPr="006A316D" w:rsidRDefault="00014695" w:rsidP="00014695">
            <w:pPr>
              <w:pStyle w:val="Default"/>
              <w:rPr>
                <w:color w:val="auto"/>
              </w:rPr>
            </w:pPr>
            <w:r w:rsidRPr="006A316D">
              <w:rPr>
                <w:color w:val="auto"/>
              </w:rPr>
              <w:t xml:space="preserve">Yükleme dozu: 1. günde 200 mg - 400 mg </w:t>
            </w:r>
          </w:p>
          <w:p w14:paraId="6918DABD" w14:textId="77777777" w:rsidR="00014695" w:rsidRPr="006A316D" w:rsidRDefault="00014695" w:rsidP="00014695">
            <w:pPr>
              <w:rPr>
                <w:rFonts w:ascii="Times New Roman" w:hAnsi="Times New Roman" w:cs="Times New Roman"/>
                <w:sz w:val="24"/>
                <w:szCs w:val="24"/>
              </w:rPr>
            </w:pPr>
            <w:r w:rsidRPr="006A316D">
              <w:rPr>
                <w:rFonts w:ascii="Times New Roman" w:hAnsi="Times New Roman" w:cs="Times New Roman"/>
                <w:sz w:val="24"/>
                <w:szCs w:val="24"/>
              </w:rPr>
              <w:t xml:space="preserve">Sonraki doz: günde bir kez 100 mg - 200 mg </w:t>
            </w:r>
          </w:p>
        </w:tc>
        <w:tc>
          <w:tcPr>
            <w:tcW w:w="2409" w:type="dxa"/>
          </w:tcPr>
          <w:p w14:paraId="798C676A" w14:textId="77777777" w:rsidR="00014695" w:rsidRPr="006A316D" w:rsidRDefault="00014695" w:rsidP="00014695">
            <w:pPr>
              <w:pStyle w:val="Default"/>
              <w:rPr>
                <w:color w:val="auto"/>
              </w:rPr>
            </w:pPr>
            <w:r w:rsidRPr="006A316D">
              <w:rPr>
                <w:color w:val="auto"/>
              </w:rPr>
              <w:t xml:space="preserve">7-21 gün (orofarengeal kandidiyazis remisyona girene kadar). </w:t>
            </w:r>
          </w:p>
          <w:p w14:paraId="1A6836C9" w14:textId="77777777" w:rsidR="00014695" w:rsidRPr="006A316D" w:rsidRDefault="00014695" w:rsidP="00014695">
            <w:pPr>
              <w:rPr>
                <w:rFonts w:ascii="Times New Roman" w:hAnsi="Times New Roman" w:cs="Times New Roman"/>
                <w:sz w:val="24"/>
                <w:szCs w:val="24"/>
              </w:rPr>
            </w:pPr>
            <w:r w:rsidRPr="006A316D">
              <w:rPr>
                <w:rFonts w:ascii="Times New Roman" w:hAnsi="Times New Roman" w:cs="Times New Roman"/>
                <w:sz w:val="24"/>
                <w:szCs w:val="24"/>
              </w:rPr>
              <w:t xml:space="preserve">Bağışıklık sistemindeki bozukluk nedeniyle ciddi risk altında olan hastalarda daha uzun süre kullanılabilir. </w:t>
            </w:r>
          </w:p>
        </w:tc>
      </w:tr>
      <w:tr w:rsidR="006A316D" w:rsidRPr="006A316D" w14:paraId="458032AC" w14:textId="77777777" w:rsidTr="00933F4B">
        <w:tc>
          <w:tcPr>
            <w:tcW w:w="2126" w:type="dxa"/>
            <w:vMerge/>
          </w:tcPr>
          <w:p w14:paraId="4BBB3C1A" w14:textId="77777777" w:rsidR="00014695" w:rsidRPr="006A316D" w:rsidRDefault="00014695" w:rsidP="00014695">
            <w:pPr>
              <w:rPr>
                <w:rFonts w:ascii="Times New Roman" w:hAnsi="Times New Roman" w:cs="Times New Roman"/>
                <w:sz w:val="24"/>
                <w:szCs w:val="24"/>
              </w:rPr>
            </w:pPr>
          </w:p>
        </w:tc>
        <w:tc>
          <w:tcPr>
            <w:tcW w:w="1559" w:type="dxa"/>
          </w:tcPr>
          <w:p w14:paraId="68FD7BFF" w14:textId="77777777" w:rsidR="00014695" w:rsidRPr="006A316D" w:rsidRDefault="00014695" w:rsidP="00933F4B">
            <w:pPr>
              <w:pStyle w:val="Default"/>
              <w:ind w:right="-101"/>
              <w:rPr>
                <w:color w:val="auto"/>
              </w:rPr>
            </w:pPr>
            <w:r w:rsidRPr="006A316D">
              <w:rPr>
                <w:color w:val="auto"/>
              </w:rPr>
              <w:t xml:space="preserve">Özofajiyal kandidiyazis </w:t>
            </w:r>
          </w:p>
        </w:tc>
        <w:tc>
          <w:tcPr>
            <w:tcW w:w="2694" w:type="dxa"/>
          </w:tcPr>
          <w:p w14:paraId="5F8ADB92" w14:textId="77777777" w:rsidR="00014695" w:rsidRPr="006A316D" w:rsidRDefault="00014695" w:rsidP="00014695">
            <w:pPr>
              <w:pStyle w:val="Default"/>
              <w:rPr>
                <w:color w:val="auto"/>
              </w:rPr>
            </w:pPr>
            <w:r w:rsidRPr="006A316D">
              <w:rPr>
                <w:color w:val="auto"/>
              </w:rPr>
              <w:t xml:space="preserve">Yükleme dozu: 1. günde 200 mg - 400 mg </w:t>
            </w:r>
          </w:p>
          <w:p w14:paraId="6D166C7E" w14:textId="77777777" w:rsidR="00014695" w:rsidRPr="006A316D" w:rsidRDefault="00014695" w:rsidP="00014695">
            <w:pPr>
              <w:rPr>
                <w:rFonts w:ascii="Times New Roman" w:hAnsi="Times New Roman" w:cs="Times New Roman"/>
                <w:sz w:val="24"/>
                <w:szCs w:val="24"/>
              </w:rPr>
            </w:pPr>
            <w:r w:rsidRPr="006A316D">
              <w:rPr>
                <w:rFonts w:ascii="Times New Roman" w:hAnsi="Times New Roman" w:cs="Times New Roman"/>
                <w:sz w:val="24"/>
                <w:szCs w:val="24"/>
              </w:rPr>
              <w:t xml:space="preserve">Sonraki doz: günde bir kez 100 mg-200 mg </w:t>
            </w:r>
          </w:p>
        </w:tc>
        <w:tc>
          <w:tcPr>
            <w:tcW w:w="2409" w:type="dxa"/>
          </w:tcPr>
          <w:p w14:paraId="104D12AA" w14:textId="77777777" w:rsidR="00014695" w:rsidRPr="006A316D" w:rsidRDefault="00014695" w:rsidP="00014695">
            <w:pPr>
              <w:pStyle w:val="Default"/>
              <w:rPr>
                <w:color w:val="auto"/>
              </w:rPr>
            </w:pPr>
            <w:r w:rsidRPr="006A316D">
              <w:rPr>
                <w:color w:val="auto"/>
              </w:rPr>
              <w:t xml:space="preserve">14-30 gün (özofagus kandidiyazis remisyona girene kadar). </w:t>
            </w:r>
          </w:p>
          <w:p w14:paraId="77D1C504" w14:textId="77777777" w:rsidR="00014695" w:rsidRPr="006A316D" w:rsidRDefault="00014695" w:rsidP="00014695">
            <w:pPr>
              <w:rPr>
                <w:rFonts w:ascii="Times New Roman" w:hAnsi="Times New Roman" w:cs="Times New Roman"/>
                <w:sz w:val="24"/>
                <w:szCs w:val="24"/>
              </w:rPr>
            </w:pPr>
            <w:r w:rsidRPr="006A316D">
              <w:rPr>
                <w:rFonts w:ascii="Times New Roman" w:hAnsi="Times New Roman" w:cs="Times New Roman"/>
                <w:sz w:val="24"/>
                <w:szCs w:val="24"/>
              </w:rPr>
              <w:t xml:space="preserve">Bağışıklık sistemindeki bozukluk nedeniyle ciddi risk altında olan hastalarda daha uzun süre kullanılabilir. </w:t>
            </w:r>
          </w:p>
        </w:tc>
      </w:tr>
      <w:tr w:rsidR="006A316D" w:rsidRPr="006A316D" w14:paraId="2C544C45" w14:textId="77777777" w:rsidTr="00933F4B">
        <w:tc>
          <w:tcPr>
            <w:tcW w:w="2126" w:type="dxa"/>
            <w:vMerge/>
          </w:tcPr>
          <w:p w14:paraId="6224D303" w14:textId="77777777" w:rsidR="00014695" w:rsidRPr="006A316D" w:rsidRDefault="00014695" w:rsidP="00014695">
            <w:pPr>
              <w:rPr>
                <w:rFonts w:ascii="Times New Roman" w:hAnsi="Times New Roman" w:cs="Times New Roman"/>
                <w:sz w:val="24"/>
                <w:szCs w:val="24"/>
              </w:rPr>
            </w:pPr>
          </w:p>
        </w:tc>
        <w:tc>
          <w:tcPr>
            <w:tcW w:w="1559" w:type="dxa"/>
          </w:tcPr>
          <w:p w14:paraId="39C014D3" w14:textId="77777777" w:rsidR="00014695" w:rsidRPr="006A316D" w:rsidRDefault="00014695" w:rsidP="00933F4B">
            <w:pPr>
              <w:pStyle w:val="Default"/>
              <w:ind w:right="-101"/>
              <w:rPr>
                <w:color w:val="auto"/>
              </w:rPr>
            </w:pPr>
            <w:r w:rsidRPr="006A316D">
              <w:rPr>
                <w:color w:val="auto"/>
              </w:rPr>
              <w:t xml:space="preserve">Kandidüri </w:t>
            </w:r>
          </w:p>
        </w:tc>
        <w:tc>
          <w:tcPr>
            <w:tcW w:w="2694" w:type="dxa"/>
          </w:tcPr>
          <w:p w14:paraId="18EBAA5D" w14:textId="77777777" w:rsidR="00014695" w:rsidRPr="006A316D" w:rsidRDefault="00014695" w:rsidP="00014695">
            <w:pPr>
              <w:pStyle w:val="Default"/>
              <w:rPr>
                <w:color w:val="auto"/>
              </w:rPr>
            </w:pPr>
            <w:r w:rsidRPr="006A316D">
              <w:rPr>
                <w:color w:val="auto"/>
              </w:rPr>
              <w:t xml:space="preserve">Günde bir kez 200 mg–400 mg </w:t>
            </w:r>
          </w:p>
          <w:p w14:paraId="23F35EBF" w14:textId="77777777" w:rsidR="00014695" w:rsidRPr="006A316D" w:rsidRDefault="00014695" w:rsidP="00014695">
            <w:pPr>
              <w:rPr>
                <w:rFonts w:ascii="Times New Roman" w:hAnsi="Times New Roman" w:cs="Times New Roman"/>
                <w:sz w:val="24"/>
                <w:szCs w:val="24"/>
              </w:rPr>
            </w:pPr>
          </w:p>
        </w:tc>
        <w:tc>
          <w:tcPr>
            <w:tcW w:w="2409" w:type="dxa"/>
          </w:tcPr>
          <w:p w14:paraId="4A867843" w14:textId="77777777" w:rsidR="00014695" w:rsidRPr="006A316D" w:rsidRDefault="00014695" w:rsidP="00014695">
            <w:pPr>
              <w:pStyle w:val="Default"/>
              <w:rPr>
                <w:color w:val="auto"/>
              </w:rPr>
            </w:pPr>
            <w:r w:rsidRPr="006A316D">
              <w:rPr>
                <w:color w:val="auto"/>
              </w:rPr>
              <w:t xml:space="preserve">7-21 gün. </w:t>
            </w:r>
          </w:p>
          <w:p w14:paraId="23C088FE" w14:textId="77777777" w:rsidR="00014695" w:rsidRPr="006A316D" w:rsidRDefault="00014695" w:rsidP="00014695">
            <w:pPr>
              <w:rPr>
                <w:rFonts w:ascii="Times New Roman" w:hAnsi="Times New Roman" w:cs="Times New Roman"/>
                <w:sz w:val="24"/>
                <w:szCs w:val="24"/>
              </w:rPr>
            </w:pPr>
            <w:r w:rsidRPr="006A316D">
              <w:rPr>
                <w:rFonts w:ascii="Times New Roman" w:hAnsi="Times New Roman" w:cs="Times New Roman"/>
                <w:sz w:val="24"/>
                <w:szCs w:val="24"/>
              </w:rPr>
              <w:t xml:space="preserve">Bağışıklık sistemindeki bozukluk nedeniyle ciddi risk altında olan hastalarda daha uzun süre kullanılabilir. </w:t>
            </w:r>
          </w:p>
        </w:tc>
      </w:tr>
      <w:tr w:rsidR="006A316D" w:rsidRPr="006A316D" w14:paraId="56EB2CDB" w14:textId="77777777" w:rsidTr="00933F4B">
        <w:tc>
          <w:tcPr>
            <w:tcW w:w="2126" w:type="dxa"/>
            <w:vMerge/>
          </w:tcPr>
          <w:p w14:paraId="38FEBE4C" w14:textId="77777777" w:rsidR="00014695" w:rsidRPr="006A316D" w:rsidRDefault="00014695" w:rsidP="00014695">
            <w:pPr>
              <w:rPr>
                <w:rFonts w:ascii="Times New Roman" w:hAnsi="Times New Roman" w:cs="Times New Roman"/>
                <w:sz w:val="24"/>
                <w:szCs w:val="24"/>
              </w:rPr>
            </w:pPr>
          </w:p>
        </w:tc>
        <w:tc>
          <w:tcPr>
            <w:tcW w:w="1559" w:type="dxa"/>
          </w:tcPr>
          <w:p w14:paraId="1FD72B2D" w14:textId="77777777" w:rsidR="00014695" w:rsidRPr="006A316D" w:rsidRDefault="00014695" w:rsidP="00933F4B">
            <w:pPr>
              <w:pStyle w:val="Default"/>
              <w:ind w:right="-101"/>
              <w:rPr>
                <w:color w:val="auto"/>
              </w:rPr>
            </w:pPr>
            <w:r w:rsidRPr="006A316D">
              <w:rPr>
                <w:color w:val="auto"/>
              </w:rPr>
              <w:t xml:space="preserve">Kronik atrofik kandidiyazis </w:t>
            </w:r>
          </w:p>
        </w:tc>
        <w:tc>
          <w:tcPr>
            <w:tcW w:w="2694" w:type="dxa"/>
          </w:tcPr>
          <w:p w14:paraId="1CA00E5A" w14:textId="77777777" w:rsidR="00014695" w:rsidRPr="006A316D" w:rsidRDefault="00014695" w:rsidP="00014695">
            <w:pPr>
              <w:pStyle w:val="Default"/>
              <w:rPr>
                <w:color w:val="auto"/>
              </w:rPr>
            </w:pPr>
            <w:r w:rsidRPr="006A316D">
              <w:rPr>
                <w:color w:val="auto"/>
              </w:rPr>
              <w:t xml:space="preserve">Günde bir kez 50 mg </w:t>
            </w:r>
          </w:p>
          <w:p w14:paraId="43536498" w14:textId="77777777" w:rsidR="00014695" w:rsidRPr="006A316D" w:rsidRDefault="00014695" w:rsidP="00014695">
            <w:pPr>
              <w:rPr>
                <w:rFonts w:ascii="Times New Roman" w:hAnsi="Times New Roman" w:cs="Times New Roman"/>
                <w:sz w:val="24"/>
                <w:szCs w:val="24"/>
              </w:rPr>
            </w:pPr>
          </w:p>
        </w:tc>
        <w:tc>
          <w:tcPr>
            <w:tcW w:w="2409" w:type="dxa"/>
          </w:tcPr>
          <w:p w14:paraId="7146E326" w14:textId="77777777" w:rsidR="00014695" w:rsidRPr="006A316D" w:rsidRDefault="00014695" w:rsidP="00014695">
            <w:pPr>
              <w:pStyle w:val="Default"/>
              <w:rPr>
                <w:color w:val="auto"/>
              </w:rPr>
            </w:pPr>
            <w:r w:rsidRPr="006A316D">
              <w:rPr>
                <w:color w:val="auto"/>
              </w:rPr>
              <w:t xml:space="preserve">14 gün </w:t>
            </w:r>
          </w:p>
          <w:p w14:paraId="47851108" w14:textId="77777777" w:rsidR="00014695" w:rsidRPr="006A316D" w:rsidRDefault="00014695" w:rsidP="00014695">
            <w:pPr>
              <w:rPr>
                <w:rFonts w:ascii="Times New Roman" w:hAnsi="Times New Roman" w:cs="Times New Roman"/>
                <w:sz w:val="24"/>
                <w:szCs w:val="24"/>
              </w:rPr>
            </w:pPr>
          </w:p>
        </w:tc>
      </w:tr>
      <w:tr w:rsidR="006A316D" w:rsidRPr="006A316D" w14:paraId="1A05AC4D" w14:textId="77777777" w:rsidTr="00933F4B">
        <w:tc>
          <w:tcPr>
            <w:tcW w:w="2126" w:type="dxa"/>
            <w:vMerge/>
          </w:tcPr>
          <w:p w14:paraId="1724BC4E" w14:textId="77777777" w:rsidR="00014695" w:rsidRPr="006A316D" w:rsidRDefault="00014695" w:rsidP="00014695">
            <w:pPr>
              <w:rPr>
                <w:rFonts w:ascii="Times New Roman" w:hAnsi="Times New Roman" w:cs="Times New Roman"/>
                <w:sz w:val="24"/>
                <w:szCs w:val="24"/>
              </w:rPr>
            </w:pPr>
          </w:p>
        </w:tc>
        <w:tc>
          <w:tcPr>
            <w:tcW w:w="1559" w:type="dxa"/>
          </w:tcPr>
          <w:p w14:paraId="7758C1A4" w14:textId="77777777" w:rsidR="00014695" w:rsidRPr="006A316D" w:rsidRDefault="00014695" w:rsidP="00933F4B">
            <w:pPr>
              <w:pStyle w:val="Default"/>
              <w:ind w:right="-101"/>
              <w:rPr>
                <w:color w:val="auto"/>
              </w:rPr>
            </w:pPr>
            <w:r w:rsidRPr="006A316D">
              <w:rPr>
                <w:color w:val="auto"/>
              </w:rPr>
              <w:t xml:space="preserve">Kronik mukokutanöz kandidiyazis </w:t>
            </w:r>
          </w:p>
        </w:tc>
        <w:tc>
          <w:tcPr>
            <w:tcW w:w="2694" w:type="dxa"/>
          </w:tcPr>
          <w:p w14:paraId="2309B175" w14:textId="77777777" w:rsidR="00014695" w:rsidRPr="006A316D" w:rsidRDefault="00014695" w:rsidP="00014695">
            <w:pPr>
              <w:pStyle w:val="Default"/>
              <w:rPr>
                <w:color w:val="auto"/>
              </w:rPr>
            </w:pPr>
            <w:r w:rsidRPr="006A316D">
              <w:rPr>
                <w:color w:val="auto"/>
              </w:rPr>
              <w:t xml:space="preserve">Günde bir kez 50 mg–100 mg </w:t>
            </w:r>
          </w:p>
          <w:p w14:paraId="45E9992A" w14:textId="77777777" w:rsidR="00014695" w:rsidRPr="006A316D" w:rsidRDefault="00014695" w:rsidP="00014695">
            <w:pPr>
              <w:rPr>
                <w:rFonts w:ascii="Times New Roman" w:hAnsi="Times New Roman" w:cs="Times New Roman"/>
                <w:sz w:val="24"/>
                <w:szCs w:val="24"/>
              </w:rPr>
            </w:pPr>
          </w:p>
        </w:tc>
        <w:tc>
          <w:tcPr>
            <w:tcW w:w="2409" w:type="dxa"/>
          </w:tcPr>
          <w:p w14:paraId="2DA5BAEC" w14:textId="77777777" w:rsidR="00014695" w:rsidRPr="006A316D" w:rsidRDefault="00014695" w:rsidP="00014695">
            <w:pPr>
              <w:pStyle w:val="Default"/>
              <w:rPr>
                <w:color w:val="auto"/>
              </w:rPr>
            </w:pPr>
            <w:r w:rsidRPr="006A316D">
              <w:rPr>
                <w:color w:val="auto"/>
              </w:rPr>
              <w:t xml:space="preserve">28 güne kadar. </w:t>
            </w:r>
          </w:p>
          <w:p w14:paraId="4A00C155" w14:textId="77777777" w:rsidR="00014695" w:rsidRPr="006A316D" w:rsidRDefault="00014695" w:rsidP="00014695">
            <w:pPr>
              <w:rPr>
                <w:rFonts w:ascii="Times New Roman" w:hAnsi="Times New Roman" w:cs="Times New Roman"/>
                <w:sz w:val="24"/>
                <w:szCs w:val="24"/>
              </w:rPr>
            </w:pPr>
            <w:r w:rsidRPr="006A316D">
              <w:rPr>
                <w:rFonts w:ascii="Times New Roman" w:hAnsi="Times New Roman" w:cs="Times New Roman"/>
                <w:sz w:val="24"/>
                <w:szCs w:val="24"/>
              </w:rPr>
              <w:t xml:space="preserve">Enfeksiyonun şiddetine, altta yatan immün komplikasyona ve enfeksiyona bağlı olarak daha uzun süre kullanılabilir. </w:t>
            </w:r>
          </w:p>
        </w:tc>
      </w:tr>
      <w:tr w:rsidR="006A316D" w:rsidRPr="006A316D" w14:paraId="416B3E38" w14:textId="77777777" w:rsidTr="00933F4B">
        <w:tc>
          <w:tcPr>
            <w:tcW w:w="2126" w:type="dxa"/>
            <w:vMerge w:val="restart"/>
          </w:tcPr>
          <w:p w14:paraId="66AFD851" w14:textId="77777777" w:rsidR="008C4FE4" w:rsidRPr="006A316D" w:rsidRDefault="008C4FE4" w:rsidP="00CD5F45">
            <w:pPr>
              <w:pStyle w:val="Default"/>
              <w:rPr>
                <w:b/>
                <w:bCs/>
                <w:color w:val="auto"/>
              </w:rPr>
            </w:pPr>
            <w:r w:rsidRPr="006A316D">
              <w:rPr>
                <w:b/>
                <w:bCs/>
                <w:color w:val="auto"/>
              </w:rPr>
              <w:t xml:space="preserve">HIV enfeksiyonu olan, relaps riski yüksek olanlarda mukozal kandidiyazis nüksünün önlenmesinde </w:t>
            </w:r>
          </w:p>
        </w:tc>
        <w:tc>
          <w:tcPr>
            <w:tcW w:w="1559" w:type="dxa"/>
          </w:tcPr>
          <w:p w14:paraId="030A8D2C" w14:textId="77777777" w:rsidR="008C4FE4" w:rsidRPr="006A316D" w:rsidRDefault="008C4FE4" w:rsidP="00933F4B">
            <w:pPr>
              <w:pStyle w:val="Default"/>
              <w:ind w:right="-101"/>
              <w:rPr>
                <w:color w:val="auto"/>
              </w:rPr>
            </w:pPr>
            <w:r w:rsidRPr="006A316D">
              <w:rPr>
                <w:color w:val="auto"/>
              </w:rPr>
              <w:t xml:space="preserve">Orofarengeal kandidiyazis </w:t>
            </w:r>
          </w:p>
          <w:p w14:paraId="46D67A1F" w14:textId="77777777" w:rsidR="008C4FE4" w:rsidRPr="006A316D" w:rsidRDefault="008C4FE4" w:rsidP="00933F4B">
            <w:pPr>
              <w:ind w:right="-101"/>
              <w:rPr>
                <w:rFonts w:ascii="Times New Roman" w:hAnsi="Times New Roman" w:cs="Times New Roman"/>
                <w:sz w:val="24"/>
                <w:szCs w:val="24"/>
              </w:rPr>
            </w:pPr>
          </w:p>
        </w:tc>
        <w:tc>
          <w:tcPr>
            <w:tcW w:w="2694" w:type="dxa"/>
          </w:tcPr>
          <w:p w14:paraId="2D17C664" w14:textId="77777777" w:rsidR="008C4FE4" w:rsidRPr="006A316D" w:rsidRDefault="008C4FE4" w:rsidP="00CD5F45">
            <w:pPr>
              <w:pStyle w:val="Default"/>
              <w:rPr>
                <w:color w:val="auto"/>
              </w:rPr>
            </w:pPr>
            <w:r w:rsidRPr="006A316D">
              <w:rPr>
                <w:color w:val="auto"/>
              </w:rPr>
              <w:t xml:space="preserve">Günde bir kez 100 mg-200 mg ya da haftada 3 defa 200 mg </w:t>
            </w:r>
          </w:p>
        </w:tc>
        <w:tc>
          <w:tcPr>
            <w:tcW w:w="2409" w:type="dxa"/>
          </w:tcPr>
          <w:p w14:paraId="0422AD9E" w14:textId="77777777" w:rsidR="008C4FE4" w:rsidRPr="006A316D" w:rsidRDefault="008C4FE4" w:rsidP="00CD5F45">
            <w:pPr>
              <w:pStyle w:val="Default"/>
              <w:rPr>
                <w:color w:val="auto"/>
              </w:rPr>
            </w:pPr>
            <w:r w:rsidRPr="006A316D">
              <w:rPr>
                <w:color w:val="auto"/>
              </w:rPr>
              <w:t xml:space="preserve">İmmün sistemi kronik olarak baskılanmış hastalar için belirsiz bir süre </w:t>
            </w:r>
          </w:p>
        </w:tc>
      </w:tr>
      <w:tr w:rsidR="006A316D" w:rsidRPr="006A316D" w14:paraId="22653815" w14:textId="77777777" w:rsidTr="00933F4B">
        <w:tc>
          <w:tcPr>
            <w:tcW w:w="2126" w:type="dxa"/>
            <w:vMerge/>
          </w:tcPr>
          <w:p w14:paraId="4A3ED08C" w14:textId="77777777" w:rsidR="008C4FE4" w:rsidRPr="006A316D" w:rsidRDefault="008C4FE4" w:rsidP="00014695">
            <w:pPr>
              <w:rPr>
                <w:rFonts w:ascii="Times New Roman" w:hAnsi="Times New Roman" w:cs="Times New Roman"/>
                <w:sz w:val="24"/>
                <w:szCs w:val="24"/>
              </w:rPr>
            </w:pPr>
          </w:p>
        </w:tc>
        <w:tc>
          <w:tcPr>
            <w:tcW w:w="1559" w:type="dxa"/>
          </w:tcPr>
          <w:p w14:paraId="66D35B68" w14:textId="77777777" w:rsidR="008C4FE4" w:rsidRPr="006A316D" w:rsidRDefault="008C4FE4" w:rsidP="00933F4B">
            <w:pPr>
              <w:pStyle w:val="Default"/>
              <w:ind w:right="-101"/>
              <w:rPr>
                <w:color w:val="auto"/>
              </w:rPr>
            </w:pPr>
            <w:r w:rsidRPr="006A316D">
              <w:rPr>
                <w:color w:val="auto"/>
              </w:rPr>
              <w:t xml:space="preserve">Özofafiyal kandidiyazis </w:t>
            </w:r>
          </w:p>
          <w:p w14:paraId="556688BC" w14:textId="77777777" w:rsidR="008C4FE4" w:rsidRPr="006A316D" w:rsidRDefault="008C4FE4" w:rsidP="00933F4B">
            <w:pPr>
              <w:ind w:right="-101"/>
              <w:rPr>
                <w:rFonts w:ascii="Times New Roman" w:hAnsi="Times New Roman" w:cs="Times New Roman"/>
                <w:sz w:val="24"/>
                <w:szCs w:val="24"/>
              </w:rPr>
            </w:pPr>
          </w:p>
        </w:tc>
        <w:tc>
          <w:tcPr>
            <w:tcW w:w="2694" w:type="dxa"/>
          </w:tcPr>
          <w:p w14:paraId="599879F9" w14:textId="77777777" w:rsidR="008C4FE4" w:rsidRPr="006A316D" w:rsidRDefault="008C4FE4" w:rsidP="00CD5F45">
            <w:pPr>
              <w:pStyle w:val="Default"/>
              <w:rPr>
                <w:color w:val="auto"/>
              </w:rPr>
            </w:pPr>
            <w:r w:rsidRPr="006A316D">
              <w:rPr>
                <w:color w:val="auto"/>
              </w:rPr>
              <w:t xml:space="preserve">Günde bir kez 100 mg-200 mg ya da haftada 3 defa 200 mg </w:t>
            </w:r>
          </w:p>
        </w:tc>
        <w:tc>
          <w:tcPr>
            <w:tcW w:w="2409" w:type="dxa"/>
          </w:tcPr>
          <w:p w14:paraId="498C31F4" w14:textId="77777777" w:rsidR="008C4FE4" w:rsidRPr="006A316D" w:rsidRDefault="008C4FE4" w:rsidP="00CD5F45">
            <w:pPr>
              <w:pStyle w:val="Default"/>
              <w:rPr>
                <w:color w:val="auto"/>
              </w:rPr>
            </w:pPr>
            <w:r w:rsidRPr="006A316D">
              <w:rPr>
                <w:color w:val="auto"/>
              </w:rPr>
              <w:t xml:space="preserve">İmmün sistemi kronik olarak baskılanmış hastalar için belirsiz bir süre </w:t>
            </w:r>
          </w:p>
        </w:tc>
      </w:tr>
      <w:tr w:rsidR="006A316D" w:rsidRPr="006A316D" w14:paraId="682C9F29" w14:textId="77777777" w:rsidTr="00933F4B">
        <w:tc>
          <w:tcPr>
            <w:tcW w:w="2126" w:type="dxa"/>
            <w:vMerge w:val="restart"/>
          </w:tcPr>
          <w:p w14:paraId="20253A53" w14:textId="77777777" w:rsidR="008C4FE4" w:rsidRPr="006A316D" w:rsidRDefault="008C4FE4" w:rsidP="008C4FE4">
            <w:pPr>
              <w:pStyle w:val="Default"/>
              <w:rPr>
                <w:color w:val="auto"/>
              </w:rPr>
            </w:pPr>
            <w:r w:rsidRPr="006A316D">
              <w:rPr>
                <w:b/>
                <w:bCs/>
                <w:color w:val="auto"/>
              </w:rPr>
              <w:t xml:space="preserve">Genital kandidiyazis </w:t>
            </w:r>
          </w:p>
        </w:tc>
        <w:tc>
          <w:tcPr>
            <w:tcW w:w="1559" w:type="dxa"/>
          </w:tcPr>
          <w:p w14:paraId="4F3B3A93" w14:textId="77777777" w:rsidR="008C4FE4" w:rsidRPr="006A316D" w:rsidRDefault="008C4FE4" w:rsidP="00933F4B">
            <w:pPr>
              <w:pStyle w:val="Default"/>
              <w:ind w:right="-101"/>
              <w:rPr>
                <w:color w:val="auto"/>
              </w:rPr>
            </w:pPr>
            <w:r w:rsidRPr="006A316D">
              <w:rPr>
                <w:color w:val="auto"/>
              </w:rPr>
              <w:t xml:space="preserve">Akut vajinal kandidiyazis </w:t>
            </w:r>
          </w:p>
          <w:p w14:paraId="2E42EAA0" w14:textId="77777777" w:rsidR="008C4FE4" w:rsidRPr="006A316D" w:rsidRDefault="008C4FE4" w:rsidP="00933F4B">
            <w:pPr>
              <w:ind w:right="-101"/>
              <w:rPr>
                <w:rFonts w:ascii="Times New Roman" w:hAnsi="Times New Roman" w:cs="Times New Roman"/>
                <w:sz w:val="24"/>
                <w:szCs w:val="24"/>
              </w:rPr>
            </w:pPr>
            <w:r w:rsidRPr="006A316D">
              <w:rPr>
                <w:rFonts w:ascii="Times New Roman" w:hAnsi="Times New Roman" w:cs="Times New Roman"/>
                <w:sz w:val="24"/>
                <w:szCs w:val="24"/>
              </w:rPr>
              <w:lastRenderedPageBreak/>
              <w:t xml:space="preserve">Kandidal balanit </w:t>
            </w:r>
          </w:p>
        </w:tc>
        <w:tc>
          <w:tcPr>
            <w:tcW w:w="2694" w:type="dxa"/>
          </w:tcPr>
          <w:p w14:paraId="582FD211" w14:textId="77777777" w:rsidR="008C4FE4" w:rsidRPr="006A316D" w:rsidRDefault="008C4FE4" w:rsidP="008C4FE4">
            <w:pPr>
              <w:pStyle w:val="Default"/>
              <w:rPr>
                <w:color w:val="auto"/>
              </w:rPr>
            </w:pPr>
            <w:r w:rsidRPr="006A316D">
              <w:rPr>
                <w:color w:val="auto"/>
              </w:rPr>
              <w:lastRenderedPageBreak/>
              <w:t xml:space="preserve">150 mg </w:t>
            </w:r>
          </w:p>
          <w:p w14:paraId="3D9ABD21" w14:textId="77777777" w:rsidR="008C4FE4" w:rsidRPr="006A316D" w:rsidRDefault="008C4FE4" w:rsidP="00014695">
            <w:pPr>
              <w:rPr>
                <w:rFonts w:ascii="Times New Roman" w:hAnsi="Times New Roman" w:cs="Times New Roman"/>
                <w:sz w:val="24"/>
                <w:szCs w:val="24"/>
              </w:rPr>
            </w:pPr>
          </w:p>
        </w:tc>
        <w:tc>
          <w:tcPr>
            <w:tcW w:w="2409" w:type="dxa"/>
          </w:tcPr>
          <w:p w14:paraId="7456647D" w14:textId="77777777" w:rsidR="008C4FE4" w:rsidRPr="006A316D" w:rsidRDefault="008C4FE4" w:rsidP="008C4FE4">
            <w:pPr>
              <w:pStyle w:val="Default"/>
              <w:rPr>
                <w:color w:val="auto"/>
              </w:rPr>
            </w:pPr>
            <w:r w:rsidRPr="006A316D">
              <w:rPr>
                <w:color w:val="auto"/>
              </w:rPr>
              <w:t xml:space="preserve">Tek doz </w:t>
            </w:r>
          </w:p>
          <w:p w14:paraId="315A16E2" w14:textId="77777777" w:rsidR="008C4FE4" w:rsidRPr="006A316D" w:rsidRDefault="008C4FE4" w:rsidP="00014695">
            <w:pPr>
              <w:rPr>
                <w:rFonts w:ascii="Times New Roman" w:hAnsi="Times New Roman" w:cs="Times New Roman"/>
                <w:sz w:val="24"/>
                <w:szCs w:val="24"/>
              </w:rPr>
            </w:pPr>
          </w:p>
        </w:tc>
      </w:tr>
      <w:tr w:rsidR="006A316D" w:rsidRPr="006A316D" w14:paraId="15956DD4" w14:textId="77777777" w:rsidTr="00933F4B">
        <w:tc>
          <w:tcPr>
            <w:tcW w:w="2126" w:type="dxa"/>
            <w:vMerge/>
          </w:tcPr>
          <w:p w14:paraId="12E2D78A" w14:textId="77777777" w:rsidR="008C4FE4" w:rsidRPr="006A316D" w:rsidRDefault="008C4FE4" w:rsidP="00014695">
            <w:pPr>
              <w:rPr>
                <w:rFonts w:ascii="Times New Roman" w:hAnsi="Times New Roman" w:cs="Times New Roman"/>
                <w:sz w:val="24"/>
                <w:szCs w:val="24"/>
              </w:rPr>
            </w:pPr>
          </w:p>
        </w:tc>
        <w:tc>
          <w:tcPr>
            <w:tcW w:w="1559" w:type="dxa"/>
          </w:tcPr>
          <w:p w14:paraId="23739556" w14:textId="77777777" w:rsidR="008C4FE4" w:rsidRPr="006A316D" w:rsidRDefault="008C4FE4" w:rsidP="00933F4B">
            <w:pPr>
              <w:pStyle w:val="Default"/>
              <w:ind w:right="-101"/>
              <w:rPr>
                <w:color w:val="auto"/>
              </w:rPr>
            </w:pPr>
            <w:r w:rsidRPr="006A316D">
              <w:rPr>
                <w:color w:val="auto"/>
              </w:rPr>
              <w:t xml:space="preserve">Tekrarlayan vajinal kandidiyazis tedavisinde ve profilaksisi (yılda 4 veya daha fazla epizod). </w:t>
            </w:r>
          </w:p>
        </w:tc>
        <w:tc>
          <w:tcPr>
            <w:tcW w:w="2694" w:type="dxa"/>
          </w:tcPr>
          <w:p w14:paraId="2434D3AB" w14:textId="77777777" w:rsidR="008C4FE4" w:rsidRPr="006A316D" w:rsidRDefault="008C4FE4" w:rsidP="008C4FE4">
            <w:pPr>
              <w:pStyle w:val="Default"/>
              <w:rPr>
                <w:color w:val="auto"/>
              </w:rPr>
            </w:pPr>
            <w:r w:rsidRPr="006A316D">
              <w:rPr>
                <w:color w:val="auto"/>
              </w:rPr>
              <w:t xml:space="preserve">Toplam 3 doz için her üç günde bir 150 mg (1., 4. ve 7 günlerde) alınmasını takiben haftada bir kez 150 mg idame dozu </w:t>
            </w:r>
          </w:p>
        </w:tc>
        <w:tc>
          <w:tcPr>
            <w:tcW w:w="2409" w:type="dxa"/>
          </w:tcPr>
          <w:p w14:paraId="19A90F48" w14:textId="77777777" w:rsidR="008C4FE4" w:rsidRPr="006A316D" w:rsidRDefault="008C4FE4" w:rsidP="008C4FE4">
            <w:pPr>
              <w:pStyle w:val="Default"/>
              <w:rPr>
                <w:color w:val="auto"/>
              </w:rPr>
            </w:pPr>
            <w:r w:rsidRPr="006A316D">
              <w:rPr>
                <w:color w:val="auto"/>
              </w:rPr>
              <w:t xml:space="preserve">İdame dozu: 6 ay </w:t>
            </w:r>
          </w:p>
          <w:p w14:paraId="05BBED90" w14:textId="77777777" w:rsidR="008C4FE4" w:rsidRPr="006A316D" w:rsidRDefault="008C4FE4" w:rsidP="00014695">
            <w:pPr>
              <w:rPr>
                <w:rFonts w:ascii="Times New Roman" w:hAnsi="Times New Roman" w:cs="Times New Roman"/>
                <w:sz w:val="24"/>
                <w:szCs w:val="24"/>
              </w:rPr>
            </w:pPr>
          </w:p>
        </w:tc>
      </w:tr>
      <w:tr w:rsidR="006A316D" w:rsidRPr="006A316D" w14:paraId="4055B3E8" w14:textId="77777777" w:rsidTr="00933F4B">
        <w:tc>
          <w:tcPr>
            <w:tcW w:w="2126" w:type="dxa"/>
            <w:vMerge w:val="restart"/>
          </w:tcPr>
          <w:p w14:paraId="20A3208E" w14:textId="77777777" w:rsidR="008C4FE4" w:rsidRPr="006A316D" w:rsidRDefault="008C4FE4" w:rsidP="008C4FE4">
            <w:pPr>
              <w:pStyle w:val="Default"/>
              <w:rPr>
                <w:color w:val="auto"/>
              </w:rPr>
            </w:pPr>
            <w:r w:rsidRPr="006A316D">
              <w:rPr>
                <w:b/>
                <w:bCs/>
                <w:color w:val="auto"/>
              </w:rPr>
              <w:t xml:space="preserve">Dermatomikozlar </w:t>
            </w:r>
          </w:p>
          <w:p w14:paraId="2D24A674" w14:textId="77777777" w:rsidR="008C4FE4" w:rsidRPr="006A316D" w:rsidRDefault="008C4FE4" w:rsidP="00014695">
            <w:pPr>
              <w:rPr>
                <w:rFonts w:ascii="Times New Roman" w:hAnsi="Times New Roman" w:cs="Times New Roman"/>
                <w:sz w:val="24"/>
                <w:szCs w:val="24"/>
              </w:rPr>
            </w:pPr>
          </w:p>
        </w:tc>
        <w:tc>
          <w:tcPr>
            <w:tcW w:w="1559" w:type="dxa"/>
          </w:tcPr>
          <w:p w14:paraId="721272D3" w14:textId="77777777" w:rsidR="008C4FE4" w:rsidRPr="006A316D" w:rsidRDefault="008C4FE4" w:rsidP="00933F4B">
            <w:pPr>
              <w:pStyle w:val="Default"/>
              <w:ind w:right="-101"/>
              <w:rPr>
                <w:color w:val="auto"/>
              </w:rPr>
            </w:pPr>
            <w:r w:rsidRPr="006A316D">
              <w:rPr>
                <w:i/>
                <w:iCs/>
                <w:color w:val="auto"/>
              </w:rPr>
              <w:t xml:space="preserve">- tinea pedis, </w:t>
            </w:r>
          </w:p>
          <w:p w14:paraId="48CBFBD1" w14:textId="77777777" w:rsidR="008C4FE4" w:rsidRPr="006A316D" w:rsidRDefault="008C4FE4" w:rsidP="00933F4B">
            <w:pPr>
              <w:pStyle w:val="Default"/>
              <w:ind w:right="-101"/>
              <w:rPr>
                <w:color w:val="auto"/>
              </w:rPr>
            </w:pPr>
            <w:r w:rsidRPr="006A316D">
              <w:rPr>
                <w:i/>
                <w:iCs/>
                <w:color w:val="auto"/>
              </w:rPr>
              <w:t xml:space="preserve">- tinea corporis, </w:t>
            </w:r>
          </w:p>
          <w:p w14:paraId="548861CF" w14:textId="77777777" w:rsidR="008C4FE4" w:rsidRPr="006A316D" w:rsidRDefault="008C4FE4" w:rsidP="00933F4B">
            <w:pPr>
              <w:pStyle w:val="Default"/>
              <w:ind w:right="-101"/>
              <w:rPr>
                <w:color w:val="auto"/>
              </w:rPr>
            </w:pPr>
            <w:r w:rsidRPr="006A316D">
              <w:rPr>
                <w:i/>
                <w:iCs/>
                <w:color w:val="auto"/>
              </w:rPr>
              <w:t xml:space="preserve">- tinea cruris, </w:t>
            </w:r>
          </w:p>
          <w:p w14:paraId="0F1D16B9" w14:textId="77777777" w:rsidR="008C4FE4" w:rsidRPr="006A316D" w:rsidRDefault="008C4FE4" w:rsidP="00933F4B">
            <w:pPr>
              <w:ind w:right="-101"/>
              <w:rPr>
                <w:rFonts w:ascii="Times New Roman" w:hAnsi="Times New Roman" w:cs="Times New Roman"/>
                <w:sz w:val="24"/>
                <w:szCs w:val="24"/>
              </w:rPr>
            </w:pPr>
            <w:r w:rsidRPr="006A316D">
              <w:rPr>
                <w:rFonts w:ascii="Times New Roman" w:hAnsi="Times New Roman" w:cs="Times New Roman"/>
                <w:sz w:val="24"/>
                <w:szCs w:val="24"/>
              </w:rPr>
              <w:t xml:space="preserve">- </w:t>
            </w:r>
            <w:r w:rsidRPr="006A316D">
              <w:rPr>
                <w:rFonts w:ascii="Times New Roman" w:hAnsi="Times New Roman" w:cs="Times New Roman"/>
                <w:i/>
                <w:iCs/>
                <w:sz w:val="24"/>
                <w:szCs w:val="24"/>
              </w:rPr>
              <w:t xml:space="preserve">candida </w:t>
            </w:r>
            <w:r w:rsidRPr="006A316D">
              <w:rPr>
                <w:rFonts w:ascii="Times New Roman" w:hAnsi="Times New Roman" w:cs="Times New Roman"/>
                <w:sz w:val="24"/>
                <w:szCs w:val="24"/>
              </w:rPr>
              <w:t xml:space="preserve">enfeksiyonları </w:t>
            </w:r>
          </w:p>
        </w:tc>
        <w:tc>
          <w:tcPr>
            <w:tcW w:w="2694" w:type="dxa"/>
          </w:tcPr>
          <w:p w14:paraId="69FD667C" w14:textId="77777777" w:rsidR="008C4FE4" w:rsidRPr="006A316D" w:rsidRDefault="008C4FE4" w:rsidP="008C4FE4">
            <w:pPr>
              <w:pStyle w:val="Default"/>
              <w:rPr>
                <w:color w:val="auto"/>
              </w:rPr>
            </w:pPr>
            <w:r w:rsidRPr="006A316D">
              <w:rPr>
                <w:color w:val="auto"/>
              </w:rPr>
              <w:t xml:space="preserve">Haftada bir kez 150 mg veya günde 50 mg </w:t>
            </w:r>
          </w:p>
          <w:p w14:paraId="3951947D" w14:textId="77777777" w:rsidR="008C4FE4" w:rsidRPr="006A316D" w:rsidRDefault="008C4FE4" w:rsidP="00014695">
            <w:pPr>
              <w:rPr>
                <w:rFonts w:ascii="Times New Roman" w:hAnsi="Times New Roman" w:cs="Times New Roman"/>
                <w:sz w:val="24"/>
                <w:szCs w:val="24"/>
              </w:rPr>
            </w:pPr>
          </w:p>
        </w:tc>
        <w:tc>
          <w:tcPr>
            <w:tcW w:w="2409" w:type="dxa"/>
          </w:tcPr>
          <w:p w14:paraId="09BA5967" w14:textId="77777777" w:rsidR="008C4FE4" w:rsidRPr="006A316D" w:rsidRDefault="008C4FE4" w:rsidP="008C4FE4">
            <w:pPr>
              <w:pStyle w:val="Default"/>
              <w:rPr>
                <w:color w:val="auto"/>
              </w:rPr>
            </w:pPr>
            <w:r w:rsidRPr="006A316D">
              <w:rPr>
                <w:color w:val="auto"/>
              </w:rPr>
              <w:t xml:space="preserve">2 ila 4 haftadır. </w:t>
            </w:r>
            <w:r w:rsidRPr="006A316D">
              <w:rPr>
                <w:i/>
                <w:iCs/>
                <w:color w:val="auto"/>
              </w:rPr>
              <w:t xml:space="preserve">Tinea pedis </w:t>
            </w:r>
            <w:r w:rsidRPr="006A316D">
              <w:rPr>
                <w:color w:val="auto"/>
              </w:rPr>
              <w:t xml:space="preserve">6 haftaya varan tedavi gerektirebilir. </w:t>
            </w:r>
          </w:p>
          <w:p w14:paraId="4D047DAA" w14:textId="77777777" w:rsidR="008C4FE4" w:rsidRPr="006A316D" w:rsidRDefault="008C4FE4" w:rsidP="00014695">
            <w:pPr>
              <w:rPr>
                <w:rFonts w:ascii="Times New Roman" w:hAnsi="Times New Roman" w:cs="Times New Roman"/>
                <w:sz w:val="24"/>
                <w:szCs w:val="24"/>
              </w:rPr>
            </w:pPr>
          </w:p>
        </w:tc>
      </w:tr>
      <w:tr w:rsidR="006A316D" w:rsidRPr="006A316D" w14:paraId="609181E0" w14:textId="77777777" w:rsidTr="00933F4B">
        <w:trPr>
          <w:trHeight w:val="599"/>
        </w:trPr>
        <w:tc>
          <w:tcPr>
            <w:tcW w:w="2126" w:type="dxa"/>
            <w:vMerge/>
          </w:tcPr>
          <w:p w14:paraId="32E39A42" w14:textId="77777777" w:rsidR="008C4FE4" w:rsidRPr="006A316D" w:rsidRDefault="008C4FE4" w:rsidP="00014695">
            <w:pPr>
              <w:rPr>
                <w:rFonts w:ascii="Times New Roman" w:hAnsi="Times New Roman" w:cs="Times New Roman"/>
                <w:sz w:val="24"/>
                <w:szCs w:val="24"/>
              </w:rPr>
            </w:pPr>
          </w:p>
        </w:tc>
        <w:tc>
          <w:tcPr>
            <w:tcW w:w="1559" w:type="dxa"/>
            <w:vMerge w:val="restart"/>
          </w:tcPr>
          <w:p w14:paraId="60A19AAF" w14:textId="77777777" w:rsidR="008C4FE4" w:rsidRPr="006A316D" w:rsidRDefault="008C4FE4" w:rsidP="00933F4B">
            <w:pPr>
              <w:pStyle w:val="Default"/>
              <w:ind w:right="-101"/>
              <w:rPr>
                <w:color w:val="auto"/>
              </w:rPr>
            </w:pPr>
            <w:r w:rsidRPr="006A316D">
              <w:rPr>
                <w:i/>
                <w:iCs/>
                <w:color w:val="auto"/>
              </w:rPr>
              <w:t xml:space="preserve">- tinea versicolor </w:t>
            </w:r>
          </w:p>
          <w:p w14:paraId="32B81B12" w14:textId="77777777" w:rsidR="008C4FE4" w:rsidRPr="006A316D" w:rsidRDefault="008C4FE4" w:rsidP="00933F4B">
            <w:pPr>
              <w:ind w:right="-101"/>
              <w:rPr>
                <w:rFonts w:ascii="Times New Roman" w:hAnsi="Times New Roman" w:cs="Times New Roman"/>
                <w:sz w:val="24"/>
                <w:szCs w:val="24"/>
              </w:rPr>
            </w:pPr>
          </w:p>
        </w:tc>
        <w:tc>
          <w:tcPr>
            <w:tcW w:w="2694" w:type="dxa"/>
          </w:tcPr>
          <w:p w14:paraId="5BF33FCE" w14:textId="77777777" w:rsidR="008C4FE4" w:rsidRPr="006A316D" w:rsidRDefault="008C4FE4" w:rsidP="008C4FE4">
            <w:pPr>
              <w:pStyle w:val="Default"/>
              <w:rPr>
                <w:color w:val="auto"/>
              </w:rPr>
            </w:pPr>
            <w:r w:rsidRPr="006A316D">
              <w:rPr>
                <w:color w:val="auto"/>
              </w:rPr>
              <w:t>Haftada bir kez 300 mg–400 mg</w:t>
            </w:r>
          </w:p>
        </w:tc>
        <w:tc>
          <w:tcPr>
            <w:tcW w:w="2409" w:type="dxa"/>
          </w:tcPr>
          <w:p w14:paraId="1DE39981" w14:textId="77777777" w:rsidR="008C4FE4" w:rsidRPr="006A316D" w:rsidRDefault="008C4FE4" w:rsidP="008C4FE4">
            <w:pPr>
              <w:pStyle w:val="Default"/>
              <w:rPr>
                <w:color w:val="auto"/>
              </w:rPr>
            </w:pPr>
            <w:r w:rsidRPr="006A316D">
              <w:rPr>
                <w:color w:val="auto"/>
              </w:rPr>
              <w:t xml:space="preserve">1-3 hafta </w:t>
            </w:r>
          </w:p>
          <w:p w14:paraId="3F84B145" w14:textId="77777777" w:rsidR="008C4FE4" w:rsidRPr="006A316D" w:rsidRDefault="008C4FE4" w:rsidP="00014695">
            <w:pPr>
              <w:rPr>
                <w:rFonts w:ascii="Times New Roman" w:hAnsi="Times New Roman" w:cs="Times New Roman"/>
                <w:sz w:val="24"/>
                <w:szCs w:val="24"/>
              </w:rPr>
            </w:pPr>
          </w:p>
        </w:tc>
      </w:tr>
      <w:tr w:rsidR="006A316D" w:rsidRPr="006A316D" w14:paraId="155FBED5" w14:textId="77777777" w:rsidTr="00933F4B">
        <w:tc>
          <w:tcPr>
            <w:tcW w:w="2126" w:type="dxa"/>
            <w:vMerge/>
          </w:tcPr>
          <w:p w14:paraId="49305819" w14:textId="77777777" w:rsidR="008C4FE4" w:rsidRPr="006A316D" w:rsidRDefault="008C4FE4" w:rsidP="00014695">
            <w:pPr>
              <w:rPr>
                <w:rFonts w:ascii="Times New Roman" w:hAnsi="Times New Roman" w:cs="Times New Roman"/>
                <w:sz w:val="24"/>
                <w:szCs w:val="24"/>
              </w:rPr>
            </w:pPr>
          </w:p>
        </w:tc>
        <w:tc>
          <w:tcPr>
            <w:tcW w:w="1559" w:type="dxa"/>
            <w:vMerge/>
          </w:tcPr>
          <w:p w14:paraId="5EB09C3C" w14:textId="77777777" w:rsidR="008C4FE4" w:rsidRPr="006A316D" w:rsidRDefault="008C4FE4" w:rsidP="00933F4B">
            <w:pPr>
              <w:ind w:right="-101"/>
              <w:rPr>
                <w:rFonts w:ascii="Times New Roman" w:hAnsi="Times New Roman" w:cs="Times New Roman"/>
                <w:sz w:val="24"/>
                <w:szCs w:val="24"/>
              </w:rPr>
            </w:pPr>
          </w:p>
        </w:tc>
        <w:tc>
          <w:tcPr>
            <w:tcW w:w="2694" w:type="dxa"/>
          </w:tcPr>
          <w:p w14:paraId="38668BE1" w14:textId="77777777" w:rsidR="008C4FE4" w:rsidRPr="006A316D" w:rsidRDefault="008C4FE4" w:rsidP="008C4FE4">
            <w:pPr>
              <w:pStyle w:val="Default"/>
              <w:rPr>
                <w:color w:val="auto"/>
              </w:rPr>
            </w:pPr>
            <w:r w:rsidRPr="006A316D">
              <w:rPr>
                <w:color w:val="auto"/>
              </w:rPr>
              <w:t xml:space="preserve">Günde bir kez 50 mg </w:t>
            </w:r>
          </w:p>
        </w:tc>
        <w:tc>
          <w:tcPr>
            <w:tcW w:w="2409" w:type="dxa"/>
          </w:tcPr>
          <w:p w14:paraId="511107A9" w14:textId="77777777" w:rsidR="008C4FE4" w:rsidRPr="006A316D" w:rsidRDefault="008C4FE4" w:rsidP="008C4FE4">
            <w:pPr>
              <w:pStyle w:val="Default"/>
              <w:rPr>
                <w:color w:val="auto"/>
              </w:rPr>
            </w:pPr>
            <w:r w:rsidRPr="006A316D">
              <w:rPr>
                <w:color w:val="auto"/>
              </w:rPr>
              <w:t xml:space="preserve">2-4 hafta </w:t>
            </w:r>
          </w:p>
        </w:tc>
      </w:tr>
      <w:tr w:rsidR="006A316D" w:rsidRPr="006A316D" w14:paraId="4A349451" w14:textId="77777777" w:rsidTr="00933F4B">
        <w:tc>
          <w:tcPr>
            <w:tcW w:w="2126" w:type="dxa"/>
          </w:tcPr>
          <w:p w14:paraId="15289C17" w14:textId="77777777" w:rsidR="00665BAD" w:rsidRPr="006A316D" w:rsidRDefault="00665BAD" w:rsidP="00014695">
            <w:pPr>
              <w:rPr>
                <w:rFonts w:ascii="Times New Roman" w:hAnsi="Times New Roman" w:cs="Times New Roman"/>
                <w:sz w:val="24"/>
                <w:szCs w:val="24"/>
              </w:rPr>
            </w:pPr>
          </w:p>
        </w:tc>
        <w:tc>
          <w:tcPr>
            <w:tcW w:w="1559" w:type="dxa"/>
          </w:tcPr>
          <w:p w14:paraId="51F8E65C" w14:textId="77777777" w:rsidR="00665BAD" w:rsidRPr="006A316D" w:rsidRDefault="008C4FE4" w:rsidP="00933F4B">
            <w:pPr>
              <w:ind w:right="-101"/>
              <w:rPr>
                <w:rFonts w:ascii="Times New Roman" w:hAnsi="Times New Roman" w:cs="Times New Roman"/>
                <w:sz w:val="24"/>
                <w:szCs w:val="24"/>
              </w:rPr>
            </w:pPr>
            <w:r w:rsidRPr="006A316D">
              <w:rPr>
                <w:rFonts w:ascii="Times New Roman" w:hAnsi="Times New Roman" w:cs="Times New Roman"/>
                <w:i/>
                <w:iCs/>
                <w:sz w:val="24"/>
                <w:szCs w:val="24"/>
              </w:rPr>
              <w:t>- tinea unguium (onikomikoz)</w:t>
            </w:r>
          </w:p>
        </w:tc>
        <w:tc>
          <w:tcPr>
            <w:tcW w:w="2694" w:type="dxa"/>
          </w:tcPr>
          <w:p w14:paraId="54AA469D" w14:textId="77777777" w:rsidR="00665BAD" w:rsidRPr="006A316D" w:rsidRDefault="008C4FE4" w:rsidP="008C4FE4">
            <w:pPr>
              <w:pStyle w:val="Default"/>
              <w:rPr>
                <w:color w:val="auto"/>
              </w:rPr>
            </w:pPr>
            <w:r w:rsidRPr="006A316D">
              <w:rPr>
                <w:color w:val="auto"/>
              </w:rPr>
              <w:t xml:space="preserve">Haftada bir kez 150 mg </w:t>
            </w:r>
          </w:p>
        </w:tc>
        <w:tc>
          <w:tcPr>
            <w:tcW w:w="2409" w:type="dxa"/>
          </w:tcPr>
          <w:p w14:paraId="2363E428" w14:textId="77777777" w:rsidR="00665BAD" w:rsidRPr="006A316D" w:rsidRDefault="008C4FE4" w:rsidP="008C4FE4">
            <w:pPr>
              <w:pStyle w:val="Default"/>
              <w:rPr>
                <w:color w:val="auto"/>
              </w:rPr>
            </w:pPr>
            <w:r w:rsidRPr="006A316D">
              <w:rPr>
                <w:color w:val="auto"/>
              </w:rPr>
              <w:t xml:space="preserve">Tedavi, enfekte olmamış tırnağın uzayıp enfekte tırnağın yerini almasına kadar devam ettirilmelidir. Normal olarak el tırnaklarının tekrar çıkması için 3-6 ay, ayak tırnakları için 6-12 aylık bir süre gerekmektedir. Bununla birlikte tırnağın uzama süresi kişiye ve yaşa bağlı olarak değişebilmektedir. Uzun süreli kronik enfeksiyonların başarılı bir şekilde tedavisinin ardından, bazen tırnakta şekil bozuklukları kalabilir. </w:t>
            </w:r>
          </w:p>
        </w:tc>
      </w:tr>
      <w:tr w:rsidR="008C4FE4" w:rsidRPr="006A316D" w14:paraId="794BCDE1" w14:textId="77777777" w:rsidTr="00933F4B">
        <w:tc>
          <w:tcPr>
            <w:tcW w:w="2126" w:type="dxa"/>
          </w:tcPr>
          <w:p w14:paraId="5E2AD3B2" w14:textId="77777777" w:rsidR="008C4FE4" w:rsidRPr="006A316D" w:rsidRDefault="008C4FE4" w:rsidP="008C4FE4">
            <w:pPr>
              <w:pStyle w:val="Default"/>
              <w:rPr>
                <w:color w:val="auto"/>
              </w:rPr>
            </w:pPr>
            <w:r w:rsidRPr="006A316D">
              <w:rPr>
                <w:b/>
                <w:bCs/>
                <w:color w:val="auto"/>
              </w:rPr>
              <w:t xml:space="preserve">Uzamış nötropeni hastalarında kandidiyazis enfeksiyonların profilaksisinde </w:t>
            </w:r>
          </w:p>
          <w:p w14:paraId="2C083F90" w14:textId="77777777" w:rsidR="008C4FE4" w:rsidRPr="006A316D" w:rsidRDefault="008C4FE4" w:rsidP="00014695">
            <w:pPr>
              <w:rPr>
                <w:rFonts w:ascii="Times New Roman" w:hAnsi="Times New Roman" w:cs="Times New Roman"/>
                <w:sz w:val="24"/>
                <w:szCs w:val="24"/>
              </w:rPr>
            </w:pPr>
          </w:p>
        </w:tc>
        <w:tc>
          <w:tcPr>
            <w:tcW w:w="1559" w:type="dxa"/>
          </w:tcPr>
          <w:p w14:paraId="537B405E" w14:textId="77777777" w:rsidR="008C4FE4" w:rsidRPr="006A316D" w:rsidRDefault="008C4FE4" w:rsidP="00933F4B">
            <w:pPr>
              <w:ind w:right="-101"/>
              <w:rPr>
                <w:rFonts w:ascii="Times New Roman" w:hAnsi="Times New Roman" w:cs="Times New Roman"/>
                <w:sz w:val="24"/>
                <w:szCs w:val="24"/>
              </w:rPr>
            </w:pPr>
          </w:p>
        </w:tc>
        <w:tc>
          <w:tcPr>
            <w:tcW w:w="2694" w:type="dxa"/>
          </w:tcPr>
          <w:p w14:paraId="3A6133CF" w14:textId="77777777" w:rsidR="008C4FE4" w:rsidRPr="006A316D" w:rsidRDefault="008C4FE4" w:rsidP="008C4FE4">
            <w:pPr>
              <w:pStyle w:val="Default"/>
              <w:rPr>
                <w:color w:val="auto"/>
              </w:rPr>
            </w:pPr>
            <w:r w:rsidRPr="006A316D">
              <w:rPr>
                <w:color w:val="auto"/>
              </w:rPr>
              <w:t xml:space="preserve">Günde bir kez 200 mg–400 mg </w:t>
            </w:r>
          </w:p>
          <w:p w14:paraId="3E0D67FD" w14:textId="77777777" w:rsidR="008C4FE4" w:rsidRPr="006A316D" w:rsidRDefault="008C4FE4" w:rsidP="00014695">
            <w:pPr>
              <w:rPr>
                <w:rFonts w:ascii="Times New Roman" w:hAnsi="Times New Roman" w:cs="Times New Roman"/>
                <w:sz w:val="24"/>
                <w:szCs w:val="24"/>
              </w:rPr>
            </w:pPr>
          </w:p>
        </w:tc>
        <w:tc>
          <w:tcPr>
            <w:tcW w:w="2409" w:type="dxa"/>
          </w:tcPr>
          <w:p w14:paraId="235B1BF2" w14:textId="77777777" w:rsidR="008C4FE4" w:rsidRPr="006A316D" w:rsidRDefault="008C4FE4" w:rsidP="008C4FE4">
            <w:pPr>
              <w:pStyle w:val="Default"/>
              <w:rPr>
                <w:color w:val="auto"/>
              </w:rPr>
            </w:pPr>
            <w:r w:rsidRPr="006A316D">
              <w:rPr>
                <w:color w:val="auto"/>
              </w:rPr>
              <w:t>Tedavi, nötropeninin beklenen başlangıcından birkaç gün önce başlamalı ve nötrofil sayısının mm</w:t>
            </w:r>
            <w:r w:rsidRPr="006A316D">
              <w:rPr>
                <w:color w:val="auto"/>
                <w:vertAlign w:val="superscript"/>
              </w:rPr>
              <w:t>3</w:t>
            </w:r>
            <w:r w:rsidRPr="006A316D">
              <w:rPr>
                <w:color w:val="auto"/>
              </w:rPr>
              <w:t xml:space="preserve"> başına 1000 hücrenin üzerine çıkmasından ve nötropeni iyileşmesinden 7 gün </w:t>
            </w:r>
            <w:r w:rsidRPr="006A316D">
              <w:rPr>
                <w:color w:val="auto"/>
              </w:rPr>
              <w:lastRenderedPageBreak/>
              <w:t xml:space="preserve">sonrasına kadar devam etmelidir. </w:t>
            </w:r>
          </w:p>
        </w:tc>
      </w:tr>
    </w:tbl>
    <w:p w14:paraId="6C262F11" w14:textId="77777777" w:rsidR="00665BAD" w:rsidRPr="006A316D" w:rsidRDefault="00665BAD" w:rsidP="00910A0A">
      <w:pPr>
        <w:spacing w:after="0" w:line="240" w:lineRule="auto"/>
        <w:ind w:left="284"/>
        <w:jc w:val="both"/>
        <w:rPr>
          <w:rFonts w:ascii="Times New Roman" w:hAnsi="Times New Roman" w:cs="Times New Roman"/>
          <w:sz w:val="24"/>
          <w:szCs w:val="24"/>
        </w:rPr>
      </w:pPr>
    </w:p>
    <w:p w14:paraId="0FE8829C" w14:textId="77777777" w:rsidR="00ED2805" w:rsidRPr="006A316D" w:rsidRDefault="00ED2805" w:rsidP="00910A0A">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Uygulama şekli:</w:t>
      </w:r>
    </w:p>
    <w:p w14:paraId="65E74FA5" w14:textId="77777777" w:rsidR="00ED2805" w:rsidRPr="006A316D" w:rsidRDefault="00F43DD6" w:rsidP="00910A0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ZOLAX</w:t>
      </w:r>
      <w:r w:rsidR="00ED2805" w:rsidRPr="006A316D">
        <w:rPr>
          <w:rFonts w:ascii="Times New Roman" w:hAnsi="Times New Roman" w:cs="Times New Roman"/>
          <w:sz w:val="24"/>
          <w:szCs w:val="24"/>
        </w:rPr>
        <w:t xml:space="preserve"> kapsül ağızdan alınır.</w:t>
      </w:r>
    </w:p>
    <w:p w14:paraId="75E756E3" w14:textId="77777777" w:rsidR="00ED2805" w:rsidRPr="006A316D" w:rsidRDefault="00ED2805" w:rsidP="00910A0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Kapsüller bütün olarak yutulmalıdır</w:t>
      </w:r>
      <w:r w:rsidR="00CD5F45" w:rsidRPr="006A316D">
        <w:rPr>
          <w:rFonts w:ascii="Times New Roman" w:hAnsi="Times New Roman" w:cs="Times New Roman"/>
          <w:sz w:val="24"/>
          <w:szCs w:val="24"/>
        </w:rPr>
        <w:t xml:space="preserve"> ve yiyeceklerden bağımsız olarak alınabilir.</w:t>
      </w:r>
    </w:p>
    <w:p w14:paraId="46FD3C86" w14:textId="77777777" w:rsidR="00394228" w:rsidRPr="006A316D" w:rsidRDefault="00394228" w:rsidP="007578BA">
      <w:pPr>
        <w:spacing w:after="120" w:line="240" w:lineRule="auto"/>
        <w:ind w:left="284"/>
        <w:jc w:val="both"/>
        <w:rPr>
          <w:rFonts w:ascii="Times New Roman" w:hAnsi="Times New Roman" w:cs="Times New Roman"/>
          <w:b/>
          <w:bCs/>
          <w:sz w:val="24"/>
          <w:szCs w:val="24"/>
        </w:rPr>
      </w:pPr>
    </w:p>
    <w:p w14:paraId="7C07B678" w14:textId="77777777" w:rsidR="00ED2805" w:rsidRPr="006A316D" w:rsidRDefault="00317542" w:rsidP="007578BA">
      <w:pPr>
        <w:spacing w:after="12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Ö</w:t>
      </w:r>
      <w:r w:rsidR="00ED2805" w:rsidRPr="006A316D">
        <w:rPr>
          <w:rFonts w:ascii="Times New Roman" w:hAnsi="Times New Roman" w:cs="Times New Roman"/>
          <w:b/>
          <w:bCs/>
          <w:sz w:val="24"/>
          <w:szCs w:val="24"/>
        </w:rPr>
        <w:t>zel popülasyonlara ilişkin ek bilgiler</w:t>
      </w:r>
      <w:r w:rsidR="00394228" w:rsidRPr="006A316D">
        <w:rPr>
          <w:rFonts w:ascii="Times New Roman" w:hAnsi="Times New Roman" w:cs="Times New Roman"/>
          <w:b/>
          <w:bCs/>
          <w:sz w:val="24"/>
          <w:szCs w:val="24"/>
        </w:rPr>
        <w:t>:</w:t>
      </w:r>
    </w:p>
    <w:p w14:paraId="4EF018F9" w14:textId="77777777" w:rsidR="00ED2805" w:rsidRPr="006A316D" w:rsidRDefault="00ED2805" w:rsidP="00910A0A">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Böbrek yetmezliği:</w:t>
      </w:r>
    </w:p>
    <w:p w14:paraId="6BFADA34" w14:textId="77777777" w:rsidR="00ED2805" w:rsidRPr="006A316D" w:rsidRDefault="00ED2805" w:rsidP="00910A0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Flukonazol, çok büyük oranda değişmeden idrarla atılır. Tek </w:t>
      </w:r>
      <w:r w:rsidR="00460A70" w:rsidRPr="006A316D">
        <w:rPr>
          <w:rFonts w:ascii="Times New Roman" w:hAnsi="Times New Roman" w:cs="Times New Roman"/>
          <w:sz w:val="24"/>
          <w:szCs w:val="24"/>
        </w:rPr>
        <w:t xml:space="preserve">bir </w:t>
      </w:r>
      <w:r w:rsidRPr="006A316D">
        <w:rPr>
          <w:rFonts w:ascii="Times New Roman" w:hAnsi="Times New Roman" w:cs="Times New Roman"/>
          <w:sz w:val="24"/>
          <w:szCs w:val="24"/>
        </w:rPr>
        <w:t>doz</w:t>
      </w:r>
      <w:r w:rsidR="00460A70" w:rsidRPr="006A316D">
        <w:rPr>
          <w:rFonts w:ascii="Times New Roman" w:hAnsi="Times New Roman" w:cs="Times New Roman"/>
          <w:sz w:val="24"/>
          <w:szCs w:val="24"/>
        </w:rPr>
        <w:t xml:space="preserve"> gerektiren</w:t>
      </w:r>
      <w:r w:rsidRPr="006A316D">
        <w:rPr>
          <w:rFonts w:ascii="Times New Roman" w:hAnsi="Times New Roman" w:cs="Times New Roman"/>
          <w:sz w:val="24"/>
          <w:szCs w:val="24"/>
        </w:rPr>
        <w:t xml:space="preserve"> tedavide doz</w:t>
      </w:r>
      <w:r w:rsidR="001E74BF" w:rsidRPr="006A316D">
        <w:rPr>
          <w:rFonts w:ascii="Times New Roman" w:hAnsi="Times New Roman" w:cs="Times New Roman"/>
          <w:sz w:val="24"/>
          <w:szCs w:val="24"/>
        </w:rPr>
        <w:t xml:space="preserve"> </w:t>
      </w:r>
      <w:r w:rsidRPr="006A316D">
        <w:rPr>
          <w:rFonts w:ascii="Times New Roman" w:hAnsi="Times New Roman" w:cs="Times New Roman"/>
          <w:sz w:val="24"/>
          <w:szCs w:val="24"/>
        </w:rPr>
        <w:t>ayarlaması gerekmemektedir. Multipl flukonazol dozları alacak olan, çocuklar da dahil olmak</w:t>
      </w:r>
      <w:r w:rsidR="001E74BF" w:rsidRPr="006A316D">
        <w:rPr>
          <w:rFonts w:ascii="Times New Roman" w:hAnsi="Times New Roman" w:cs="Times New Roman"/>
          <w:sz w:val="24"/>
          <w:szCs w:val="24"/>
        </w:rPr>
        <w:t xml:space="preserve"> </w:t>
      </w:r>
      <w:r w:rsidRPr="006A316D">
        <w:rPr>
          <w:rFonts w:ascii="Times New Roman" w:hAnsi="Times New Roman" w:cs="Times New Roman"/>
          <w:sz w:val="24"/>
          <w:szCs w:val="24"/>
        </w:rPr>
        <w:t>üzere renal fonksiyonu bozulmuş hastalarda, 50 mg ila 400 mg’lık bir başlangıç yükleme</w:t>
      </w:r>
      <w:r w:rsidR="001E74BF" w:rsidRPr="006A316D">
        <w:rPr>
          <w:rFonts w:ascii="Times New Roman" w:hAnsi="Times New Roman" w:cs="Times New Roman"/>
          <w:sz w:val="24"/>
          <w:szCs w:val="24"/>
        </w:rPr>
        <w:t xml:space="preserve"> </w:t>
      </w:r>
      <w:r w:rsidRPr="006A316D">
        <w:rPr>
          <w:rFonts w:ascii="Times New Roman" w:hAnsi="Times New Roman" w:cs="Times New Roman"/>
          <w:sz w:val="24"/>
          <w:szCs w:val="24"/>
        </w:rPr>
        <w:t>dozu (endikasyona uygun olarak)</w:t>
      </w:r>
      <w:r w:rsidR="00A32CCD" w:rsidRPr="006A316D">
        <w:rPr>
          <w:rFonts w:ascii="Times New Roman" w:hAnsi="Times New Roman" w:cs="Times New Roman"/>
          <w:sz w:val="24"/>
          <w:szCs w:val="24"/>
        </w:rPr>
        <w:t xml:space="preserve"> </w:t>
      </w:r>
      <w:r w:rsidRPr="006A316D">
        <w:rPr>
          <w:rFonts w:ascii="Times New Roman" w:hAnsi="Times New Roman" w:cs="Times New Roman"/>
          <w:sz w:val="24"/>
          <w:szCs w:val="24"/>
        </w:rPr>
        <w:t>verilmelidir. Yükleme dozundan sonra, günlük doz</w:t>
      </w:r>
      <w:r w:rsidR="001E74BF" w:rsidRPr="006A316D">
        <w:rPr>
          <w:rFonts w:ascii="Times New Roman" w:hAnsi="Times New Roman" w:cs="Times New Roman"/>
          <w:sz w:val="24"/>
          <w:szCs w:val="24"/>
        </w:rPr>
        <w:t xml:space="preserve"> </w:t>
      </w:r>
      <w:r w:rsidRPr="006A316D">
        <w:rPr>
          <w:rFonts w:ascii="Times New Roman" w:hAnsi="Times New Roman" w:cs="Times New Roman"/>
          <w:sz w:val="24"/>
          <w:szCs w:val="24"/>
        </w:rPr>
        <w:t>(endikasyona uygun olarak) aşağıdaki tabloya göre düzenlenmelidir:</w:t>
      </w:r>
    </w:p>
    <w:p w14:paraId="1191DD40" w14:textId="77777777" w:rsidR="001E74BF" w:rsidRPr="006A316D" w:rsidRDefault="001E74BF" w:rsidP="00910A0A">
      <w:pPr>
        <w:spacing w:after="0" w:line="240" w:lineRule="auto"/>
        <w:ind w:left="284"/>
        <w:jc w:val="both"/>
        <w:rPr>
          <w:rFonts w:ascii="Times New Roman" w:hAnsi="Times New Roman" w:cs="Times New Roman"/>
          <w:sz w:val="24"/>
          <w:szCs w:val="24"/>
        </w:rPr>
      </w:pPr>
    </w:p>
    <w:tbl>
      <w:tblPr>
        <w:tblStyle w:val="TabloKlavuzu"/>
        <w:tblW w:w="0" w:type="auto"/>
        <w:tblInd w:w="392" w:type="dxa"/>
        <w:tblLook w:val="04A0" w:firstRow="1" w:lastRow="0" w:firstColumn="1" w:lastColumn="0" w:noHBand="0" w:noVBand="1"/>
      </w:tblPr>
      <w:tblGrid>
        <w:gridCol w:w="4324"/>
        <w:gridCol w:w="4324"/>
      </w:tblGrid>
      <w:tr w:rsidR="006A316D" w:rsidRPr="006A316D" w14:paraId="59659AAC" w14:textId="77777777" w:rsidTr="003E4825">
        <w:trPr>
          <w:trHeight w:val="330"/>
        </w:trPr>
        <w:tc>
          <w:tcPr>
            <w:tcW w:w="4324" w:type="dxa"/>
            <w:vAlign w:val="center"/>
          </w:tcPr>
          <w:p w14:paraId="23E1AA82" w14:textId="77777777" w:rsidR="001E74BF" w:rsidRPr="006A316D" w:rsidRDefault="001E74BF" w:rsidP="001E74BF">
            <w:pPr>
              <w:rPr>
                <w:rFonts w:ascii="Times New Roman" w:hAnsi="Times New Roman" w:cs="Times New Roman"/>
                <w:b/>
                <w:bCs/>
                <w:sz w:val="24"/>
                <w:szCs w:val="24"/>
              </w:rPr>
            </w:pPr>
            <w:r w:rsidRPr="006A316D">
              <w:rPr>
                <w:rFonts w:ascii="Times New Roman" w:hAnsi="Times New Roman" w:cs="Times New Roman"/>
                <w:b/>
                <w:bCs/>
                <w:sz w:val="24"/>
                <w:szCs w:val="24"/>
              </w:rPr>
              <w:t>Kreatinin Klerensi (ml/dak)</w:t>
            </w:r>
          </w:p>
        </w:tc>
        <w:tc>
          <w:tcPr>
            <w:tcW w:w="4324" w:type="dxa"/>
            <w:vAlign w:val="center"/>
          </w:tcPr>
          <w:p w14:paraId="2356F0EE" w14:textId="77777777" w:rsidR="001E74BF" w:rsidRPr="006A316D" w:rsidRDefault="001E74BF" w:rsidP="001E74BF">
            <w:pPr>
              <w:jc w:val="both"/>
              <w:rPr>
                <w:rFonts w:ascii="Times New Roman" w:hAnsi="Times New Roman" w:cs="Times New Roman"/>
                <w:b/>
                <w:bCs/>
                <w:sz w:val="24"/>
                <w:szCs w:val="24"/>
              </w:rPr>
            </w:pPr>
            <w:r w:rsidRPr="006A316D">
              <w:rPr>
                <w:rFonts w:ascii="Times New Roman" w:hAnsi="Times New Roman" w:cs="Times New Roman"/>
                <w:b/>
                <w:bCs/>
                <w:sz w:val="24"/>
                <w:szCs w:val="24"/>
              </w:rPr>
              <w:t>Önerilen doz yüzdesi</w:t>
            </w:r>
          </w:p>
        </w:tc>
      </w:tr>
      <w:tr w:rsidR="006A316D" w:rsidRPr="006A316D" w14:paraId="5989C3C2" w14:textId="77777777" w:rsidTr="003E4825">
        <w:trPr>
          <w:trHeight w:val="310"/>
        </w:trPr>
        <w:tc>
          <w:tcPr>
            <w:tcW w:w="4324" w:type="dxa"/>
            <w:vAlign w:val="center"/>
          </w:tcPr>
          <w:p w14:paraId="29EBABE0" w14:textId="77777777" w:rsidR="001E74BF" w:rsidRPr="006A316D" w:rsidRDefault="001E74BF" w:rsidP="001E74BF">
            <w:pPr>
              <w:rPr>
                <w:rFonts w:ascii="Times New Roman" w:hAnsi="Times New Roman" w:cs="Times New Roman"/>
                <w:sz w:val="24"/>
                <w:szCs w:val="24"/>
              </w:rPr>
            </w:pPr>
            <w:r w:rsidRPr="006A316D">
              <w:rPr>
                <w:rFonts w:ascii="Times New Roman" w:hAnsi="Times New Roman" w:cs="Times New Roman"/>
                <w:sz w:val="24"/>
                <w:szCs w:val="24"/>
              </w:rPr>
              <w:t>&gt;50</w:t>
            </w:r>
          </w:p>
        </w:tc>
        <w:tc>
          <w:tcPr>
            <w:tcW w:w="4324" w:type="dxa"/>
            <w:vAlign w:val="center"/>
          </w:tcPr>
          <w:p w14:paraId="512D7FB9" w14:textId="77777777" w:rsidR="001E74BF" w:rsidRPr="006A316D" w:rsidRDefault="001E74BF" w:rsidP="001E74BF">
            <w:pPr>
              <w:jc w:val="both"/>
              <w:rPr>
                <w:rFonts w:ascii="Times New Roman" w:hAnsi="Times New Roman" w:cs="Times New Roman"/>
                <w:sz w:val="24"/>
                <w:szCs w:val="24"/>
              </w:rPr>
            </w:pPr>
            <w:r w:rsidRPr="006A316D">
              <w:rPr>
                <w:rFonts w:ascii="Times New Roman" w:hAnsi="Times New Roman" w:cs="Times New Roman"/>
                <w:sz w:val="24"/>
                <w:szCs w:val="24"/>
              </w:rPr>
              <w:t>%100</w:t>
            </w:r>
          </w:p>
        </w:tc>
      </w:tr>
      <w:tr w:rsidR="006A316D" w:rsidRPr="006A316D" w14:paraId="23887EF1" w14:textId="77777777" w:rsidTr="003E4825">
        <w:trPr>
          <w:trHeight w:val="310"/>
        </w:trPr>
        <w:tc>
          <w:tcPr>
            <w:tcW w:w="4324" w:type="dxa"/>
            <w:vAlign w:val="center"/>
          </w:tcPr>
          <w:p w14:paraId="1527C45E" w14:textId="77777777" w:rsidR="001E74BF" w:rsidRPr="006A316D" w:rsidRDefault="001E74BF" w:rsidP="001E74BF">
            <w:pPr>
              <w:rPr>
                <w:rFonts w:ascii="Times New Roman" w:hAnsi="Times New Roman" w:cs="Times New Roman"/>
                <w:sz w:val="24"/>
                <w:szCs w:val="24"/>
              </w:rPr>
            </w:pPr>
            <w:r w:rsidRPr="006A316D">
              <w:rPr>
                <w:rFonts w:ascii="Times New Roman" w:hAnsi="Times New Roman" w:cs="Times New Roman"/>
                <w:sz w:val="24"/>
                <w:szCs w:val="24"/>
              </w:rPr>
              <w:t>≤ 50</w:t>
            </w:r>
            <w:r w:rsidR="004857B4" w:rsidRPr="006A316D">
              <w:rPr>
                <w:rFonts w:ascii="Times New Roman" w:hAnsi="Times New Roman" w:cs="Times New Roman"/>
                <w:sz w:val="24"/>
                <w:szCs w:val="24"/>
              </w:rPr>
              <w:t xml:space="preserve"> (</w:t>
            </w:r>
            <w:r w:rsidR="00CD5F45" w:rsidRPr="006A316D">
              <w:rPr>
                <w:rFonts w:ascii="Times New Roman" w:hAnsi="Times New Roman" w:cs="Times New Roman"/>
                <w:sz w:val="24"/>
                <w:szCs w:val="24"/>
              </w:rPr>
              <w:t>hemo</w:t>
            </w:r>
            <w:r w:rsidR="004857B4" w:rsidRPr="006A316D">
              <w:rPr>
                <w:rFonts w:ascii="Times New Roman" w:hAnsi="Times New Roman" w:cs="Times New Roman"/>
                <w:sz w:val="24"/>
                <w:szCs w:val="24"/>
              </w:rPr>
              <w:t>diyalize girmeyen)</w:t>
            </w:r>
          </w:p>
        </w:tc>
        <w:tc>
          <w:tcPr>
            <w:tcW w:w="4324" w:type="dxa"/>
            <w:vAlign w:val="center"/>
          </w:tcPr>
          <w:p w14:paraId="31A50A4A" w14:textId="77777777" w:rsidR="001E74BF" w:rsidRPr="006A316D" w:rsidRDefault="001E74BF" w:rsidP="001E74BF">
            <w:pPr>
              <w:jc w:val="both"/>
              <w:rPr>
                <w:rFonts w:ascii="Times New Roman" w:hAnsi="Times New Roman" w:cs="Times New Roman"/>
                <w:sz w:val="24"/>
                <w:szCs w:val="24"/>
              </w:rPr>
            </w:pPr>
            <w:r w:rsidRPr="006A316D">
              <w:rPr>
                <w:rFonts w:ascii="Times New Roman" w:hAnsi="Times New Roman" w:cs="Times New Roman"/>
                <w:sz w:val="24"/>
                <w:szCs w:val="24"/>
              </w:rPr>
              <w:t>%50</w:t>
            </w:r>
          </w:p>
        </w:tc>
      </w:tr>
      <w:tr w:rsidR="004B6035" w:rsidRPr="006A316D" w14:paraId="6E40EBAE" w14:textId="77777777" w:rsidTr="003E4825">
        <w:trPr>
          <w:trHeight w:val="310"/>
        </w:trPr>
        <w:tc>
          <w:tcPr>
            <w:tcW w:w="4324" w:type="dxa"/>
            <w:vAlign w:val="center"/>
          </w:tcPr>
          <w:p w14:paraId="467AB705" w14:textId="77777777" w:rsidR="001E74BF" w:rsidRPr="006A316D" w:rsidRDefault="00CD5F45" w:rsidP="001E74BF">
            <w:pPr>
              <w:rPr>
                <w:rFonts w:ascii="Times New Roman" w:hAnsi="Times New Roman" w:cs="Times New Roman"/>
                <w:sz w:val="24"/>
                <w:szCs w:val="24"/>
              </w:rPr>
            </w:pPr>
            <w:r w:rsidRPr="006A316D">
              <w:rPr>
                <w:rFonts w:ascii="Times New Roman" w:hAnsi="Times New Roman" w:cs="Times New Roman"/>
                <w:sz w:val="24"/>
                <w:szCs w:val="24"/>
              </w:rPr>
              <w:t xml:space="preserve">Hemodiyalize </w:t>
            </w:r>
            <w:r w:rsidR="001E74BF" w:rsidRPr="006A316D">
              <w:rPr>
                <w:rFonts w:ascii="Times New Roman" w:hAnsi="Times New Roman" w:cs="Times New Roman"/>
                <w:sz w:val="24"/>
                <w:szCs w:val="24"/>
              </w:rPr>
              <w:t>giren hastalar</w:t>
            </w:r>
          </w:p>
        </w:tc>
        <w:tc>
          <w:tcPr>
            <w:tcW w:w="4324" w:type="dxa"/>
            <w:vAlign w:val="center"/>
          </w:tcPr>
          <w:p w14:paraId="6CCC21FE" w14:textId="77777777" w:rsidR="001E74BF" w:rsidRPr="006A316D" w:rsidRDefault="001E74BF" w:rsidP="001E74BF">
            <w:pPr>
              <w:jc w:val="both"/>
              <w:rPr>
                <w:rFonts w:ascii="Times New Roman" w:hAnsi="Times New Roman" w:cs="Times New Roman"/>
                <w:sz w:val="24"/>
                <w:szCs w:val="24"/>
              </w:rPr>
            </w:pPr>
            <w:r w:rsidRPr="006A316D">
              <w:rPr>
                <w:rFonts w:ascii="Times New Roman" w:hAnsi="Times New Roman" w:cs="Times New Roman"/>
                <w:sz w:val="24"/>
                <w:szCs w:val="24"/>
              </w:rPr>
              <w:t xml:space="preserve">Her </w:t>
            </w:r>
            <w:r w:rsidR="00CD5F45" w:rsidRPr="006A316D">
              <w:rPr>
                <w:rFonts w:ascii="Times New Roman" w:hAnsi="Times New Roman" w:cs="Times New Roman"/>
                <w:sz w:val="24"/>
                <w:szCs w:val="24"/>
              </w:rPr>
              <w:t xml:space="preserve">hemodiyaliz </w:t>
            </w:r>
            <w:r w:rsidRPr="006A316D">
              <w:rPr>
                <w:rFonts w:ascii="Times New Roman" w:hAnsi="Times New Roman" w:cs="Times New Roman"/>
                <w:sz w:val="24"/>
                <w:szCs w:val="24"/>
              </w:rPr>
              <w:t>seansı sonrası %100</w:t>
            </w:r>
          </w:p>
        </w:tc>
      </w:tr>
    </w:tbl>
    <w:p w14:paraId="4B9E6D51" w14:textId="77777777" w:rsidR="001E74BF" w:rsidRPr="006A316D" w:rsidRDefault="001E74BF" w:rsidP="00910A0A">
      <w:pPr>
        <w:spacing w:after="0" w:line="240" w:lineRule="auto"/>
        <w:ind w:left="284"/>
        <w:jc w:val="both"/>
        <w:rPr>
          <w:rFonts w:ascii="Times New Roman" w:hAnsi="Times New Roman" w:cs="Times New Roman"/>
          <w:sz w:val="24"/>
          <w:szCs w:val="24"/>
        </w:rPr>
      </w:pPr>
    </w:p>
    <w:p w14:paraId="17D4A70D" w14:textId="77777777" w:rsidR="00ED2805" w:rsidRPr="006A316D" w:rsidRDefault="00CD5F45" w:rsidP="00910A0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Hemodiyalize </w:t>
      </w:r>
      <w:r w:rsidR="00ED2805" w:rsidRPr="006A316D">
        <w:rPr>
          <w:rFonts w:ascii="Times New Roman" w:hAnsi="Times New Roman" w:cs="Times New Roman"/>
          <w:sz w:val="24"/>
          <w:szCs w:val="24"/>
        </w:rPr>
        <w:t xml:space="preserve">giren hastalar her </w:t>
      </w:r>
      <w:r w:rsidRPr="006A316D">
        <w:rPr>
          <w:rFonts w:ascii="Times New Roman" w:hAnsi="Times New Roman" w:cs="Times New Roman"/>
          <w:sz w:val="24"/>
          <w:szCs w:val="24"/>
        </w:rPr>
        <w:t xml:space="preserve">hemodiyalizin </w:t>
      </w:r>
      <w:r w:rsidR="00ED2805" w:rsidRPr="006A316D">
        <w:rPr>
          <w:rFonts w:ascii="Times New Roman" w:hAnsi="Times New Roman" w:cs="Times New Roman"/>
          <w:sz w:val="24"/>
          <w:szCs w:val="24"/>
        </w:rPr>
        <w:t>ardından önerilen dozun %100’ünü, diyalizin</w:t>
      </w:r>
      <w:r w:rsidR="001E74BF" w:rsidRPr="006A316D">
        <w:rPr>
          <w:rFonts w:ascii="Times New Roman" w:hAnsi="Times New Roman" w:cs="Times New Roman"/>
          <w:sz w:val="24"/>
          <w:szCs w:val="24"/>
        </w:rPr>
        <w:t xml:space="preserve"> </w:t>
      </w:r>
      <w:r w:rsidR="00ED2805" w:rsidRPr="006A316D">
        <w:rPr>
          <w:rFonts w:ascii="Times New Roman" w:hAnsi="Times New Roman" w:cs="Times New Roman"/>
          <w:sz w:val="24"/>
          <w:szCs w:val="24"/>
        </w:rPr>
        <w:t>olmadığı günlerde kreatinin kl</w:t>
      </w:r>
      <w:r w:rsidR="00840ABD" w:rsidRPr="006A316D">
        <w:rPr>
          <w:rFonts w:ascii="Times New Roman" w:hAnsi="Times New Roman" w:cs="Times New Roman"/>
          <w:sz w:val="24"/>
          <w:szCs w:val="24"/>
        </w:rPr>
        <w:t>e</w:t>
      </w:r>
      <w:r w:rsidR="00ED2805" w:rsidRPr="006A316D">
        <w:rPr>
          <w:rFonts w:ascii="Times New Roman" w:hAnsi="Times New Roman" w:cs="Times New Roman"/>
          <w:sz w:val="24"/>
          <w:szCs w:val="24"/>
        </w:rPr>
        <w:t>renslerine göre azaltılmış doz almalıdırlar.</w:t>
      </w:r>
    </w:p>
    <w:p w14:paraId="54196368" w14:textId="77777777" w:rsidR="00ED2805" w:rsidRPr="006A316D" w:rsidRDefault="00ED2805" w:rsidP="00910A0A">
      <w:pPr>
        <w:spacing w:after="0" w:line="240" w:lineRule="auto"/>
        <w:ind w:left="284"/>
        <w:jc w:val="both"/>
        <w:rPr>
          <w:rFonts w:ascii="Times New Roman" w:hAnsi="Times New Roman" w:cs="Times New Roman"/>
          <w:sz w:val="24"/>
          <w:szCs w:val="24"/>
        </w:rPr>
      </w:pPr>
    </w:p>
    <w:p w14:paraId="6D0763C5" w14:textId="77777777" w:rsidR="00ED2805" w:rsidRPr="006A316D" w:rsidRDefault="00ED2805" w:rsidP="00910A0A">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Karaciğer yetmezliği:</w:t>
      </w:r>
    </w:p>
    <w:p w14:paraId="4F8B7859" w14:textId="77777777" w:rsidR="00ED2805" w:rsidRPr="006A316D" w:rsidRDefault="00A75377" w:rsidP="00910A0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Karaciğer yetmezliği olan hastalarda kullanımı ile ilgili bilgi sınırlıdır. Bu yüzden flukonazol, karaciğer disfonksiyonu olan hastalara dikkatli biçimde uygulanmalıdır. (</w:t>
      </w:r>
      <w:r w:rsidR="00840ABD" w:rsidRPr="006A316D">
        <w:rPr>
          <w:rFonts w:ascii="Times New Roman" w:hAnsi="Times New Roman" w:cs="Times New Roman"/>
          <w:sz w:val="24"/>
          <w:szCs w:val="24"/>
        </w:rPr>
        <w:t>B</w:t>
      </w:r>
      <w:r w:rsidRPr="006A316D">
        <w:rPr>
          <w:rFonts w:ascii="Times New Roman" w:hAnsi="Times New Roman" w:cs="Times New Roman"/>
          <w:sz w:val="24"/>
          <w:szCs w:val="24"/>
        </w:rPr>
        <w:t>kz. Bölüm 4.4 ve 4.8)</w:t>
      </w:r>
    </w:p>
    <w:p w14:paraId="3494CADF" w14:textId="77777777" w:rsidR="00A75377" w:rsidRPr="006A316D" w:rsidRDefault="00A75377" w:rsidP="00910A0A">
      <w:pPr>
        <w:spacing w:after="0" w:line="240" w:lineRule="auto"/>
        <w:ind w:left="284"/>
        <w:jc w:val="both"/>
        <w:rPr>
          <w:rFonts w:ascii="Times New Roman" w:hAnsi="Times New Roman" w:cs="Times New Roman"/>
          <w:sz w:val="24"/>
          <w:szCs w:val="24"/>
        </w:rPr>
      </w:pPr>
    </w:p>
    <w:p w14:paraId="4B378D00" w14:textId="77777777" w:rsidR="00ED2805" w:rsidRPr="006A316D" w:rsidRDefault="00ED2805" w:rsidP="00910A0A">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Pediyatrik popülasyon:</w:t>
      </w:r>
    </w:p>
    <w:p w14:paraId="2D29177C" w14:textId="77777777" w:rsidR="00933F4B" w:rsidRPr="006A316D" w:rsidRDefault="00B458FD" w:rsidP="00B458FD">
      <w:pPr>
        <w:spacing w:after="0" w:line="240" w:lineRule="auto"/>
        <w:jc w:val="both"/>
        <w:rPr>
          <w:rFonts w:ascii="Times New Roman" w:hAnsi="Times New Roman" w:cs="Times New Roman"/>
          <w:sz w:val="24"/>
          <w:szCs w:val="24"/>
        </w:rPr>
      </w:pPr>
      <w:r w:rsidRPr="006A316D">
        <w:rPr>
          <w:rFonts w:ascii="Times New Roman" w:hAnsi="Times New Roman" w:cs="Times New Roman"/>
          <w:sz w:val="24"/>
          <w:szCs w:val="24"/>
        </w:rPr>
        <w:t xml:space="preserve">     </w:t>
      </w:r>
      <w:r w:rsidR="00933F4B" w:rsidRPr="006A316D">
        <w:rPr>
          <w:rFonts w:ascii="Times New Roman" w:hAnsi="Times New Roman" w:cs="Times New Roman"/>
          <w:sz w:val="24"/>
          <w:szCs w:val="24"/>
        </w:rPr>
        <w:t>Pediyatrik popülasyonda günlük maksimum doz 400 mg’ı aşmamalıdır.</w:t>
      </w:r>
    </w:p>
    <w:p w14:paraId="1C76CBC3" w14:textId="77777777" w:rsidR="00B458FD" w:rsidRPr="006A316D" w:rsidRDefault="00B458FD" w:rsidP="00933F4B">
      <w:pPr>
        <w:spacing w:after="0" w:line="240" w:lineRule="auto"/>
        <w:ind w:left="284"/>
        <w:jc w:val="both"/>
        <w:rPr>
          <w:rFonts w:ascii="Times New Roman" w:hAnsi="Times New Roman" w:cs="Times New Roman"/>
          <w:sz w:val="24"/>
          <w:szCs w:val="24"/>
        </w:rPr>
      </w:pPr>
    </w:p>
    <w:p w14:paraId="1473B7E8" w14:textId="77777777" w:rsidR="00933F4B" w:rsidRPr="006A316D" w:rsidRDefault="00933F4B" w:rsidP="00933F4B">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Erişkinlerde</w:t>
      </w:r>
      <w:r w:rsidR="00460A70" w:rsidRPr="006A316D">
        <w:rPr>
          <w:rFonts w:ascii="Times New Roman" w:hAnsi="Times New Roman" w:cs="Times New Roman"/>
          <w:sz w:val="24"/>
          <w:szCs w:val="24"/>
        </w:rPr>
        <w:t>ki</w:t>
      </w:r>
      <w:r w:rsidRPr="006A316D">
        <w:rPr>
          <w:rFonts w:ascii="Times New Roman" w:hAnsi="Times New Roman" w:cs="Times New Roman"/>
          <w:sz w:val="24"/>
          <w:szCs w:val="24"/>
        </w:rPr>
        <w:t xml:space="preserve"> benzer enfeksiyonlarda olduğu gibi tedavi süresi klinik ve mikolojik cevaba </w:t>
      </w:r>
      <w:r w:rsidR="00460A70" w:rsidRPr="006A316D">
        <w:rPr>
          <w:rFonts w:ascii="Times New Roman" w:hAnsi="Times New Roman" w:cs="Times New Roman"/>
          <w:sz w:val="24"/>
          <w:szCs w:val="24"/>
        </w:rPr>
        <w:t>bağlıdır</w:t>
      </w:r>
      <w:r w:rsidRPr="006A316D">
        <w:rPr>
          <w:rFonts w:ascii="Times New Roman" w:hAnsi="Times New Roman" w:cs="Times New Roman"/>
          <w:sz w:val="24"/>
          <w:szCs w:val="24"/>
        </w:rPr>
        <w:t xml:space="preserve">. Flokonazol, günde tek doz olarak </w:t>
      </w:r>
      <w:r w:rsidR="00460A70" w:rsidRPr="006A316D">
        <w:rPr>
          <w:rFonts w:ascii="Times New Roman" w:hAnsi="Times New Roman" w:cs="Times New Roman"/>
          <w:sz w:val="24"/>
          <w:szCs w:val="24"/>
        </w:rPr>
        <w:t>verilir</w:t>
      </w:r>
      <w:r w:rsidRPr="006A316D">
        <w:rPr>
          <w:rFonts w:ascii="Times New Roman" w:hAnsi="Times New Roman" w:cs="Times New Roman"/>
          <w:sz w:val="24"/>
          <w:szCs w:val="24"/>
        </w:rPr>
        <w:t>.</w:t>
      </w:r>
    </w:p>
    <w:p w14:paraId="3662FE5F" w14:textId="77777777" w:rsidR="00933F4B" w:rsidRPr="006A316D" w:rsidRDefault="00933F4B" w:rsidP="00933F4B">
      <w:pPr>
        <w:spacing w:after="0" w:line="240" w:lineRule="auto"/>
        <w:ind w:left="284"/>
        <w:jc w:val="both"/>
        <w:rPr>
          <w:rFonts w:ascii="Times New Roman" w:hAnsi="Times New Roman" w:cs="Times New Roman"/>
          <w:sz w:val="24"/>
          <w:szCs w:val="24"/>
        </w:rPr>
      </w:pPr>
    </w:p>
    <w:p w14:paraId="0EC55A1B" w14:textId="77777777" w:rsidR="00933F4B" w:rsidRPr="006A316D" w:rsidRDefault="00933F4B" w:rsidP="00933F4B">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Böbrek fonksiyon bozukluğu olan pediyatrik hastalarda kullanım için “Böbrek yetmezliği” bölümüne bakınız. Flukonazolün farmakokinetiği, böbrek yetmezliği olan pediyatrik popülasyonda çalışılmamıştır (çoğunlukla renal olgunlaşmayı sergilememiş “Yenidoğan bebek dönemi”ndekiler için aşağıdaki tabloyu inceleyiniz).</w:t>
      </w:r>
    </w:p>
    <w:p w14:paraId="441E7E3F" w14:textId="77777777" w:rsidR="00933F4B" w:rsidRPr="006A316D" w:rsidRDefault="00933F4B" w:rsidP="00933F4B">
      <w:pPr>
        <w:spacing w:after="0" w:line="240" w:lineRule="auto"/>
        <w:ind w:left="284"/>
        <w:jc w:val="both"/>
        <w:rPr>
          <w:rFonts w:ascii="Times New Roman" w:hAnsi="Times New Roman" w:cs="Times New Roman"/>
          <w:sz w:val="24"/>
          <w:szCs w:val="24"/>
        </w:rPr>
      </w:pPr>
    </w:p>
    <w:p w14:paraId="60DE18D1" w14:textId="77777777" w:rsidR="00933F4B" w:rsidRPr="006A316D" w:rsidRDefault="00933F4B" w:rsidP="00933F4B">
      <w:pPr>
        <w:spacing w:after="0" w:line="240" w:lineRule="auto"/>
        <w:ind w:left="284"/>
        <w:jc w:val="both"/>
        <w:rPr>
          <w:rFonts w:ascii="Times New Roman" w:hAnsi="Times New Roman" w:cs="Times New Roman"/>
          <w:i/>
          <w:iCs/>
          <w:sz w:val="24"/>
          <w:szCs w:val="24"/>
        </w:rPr>
      </w:pPr>
      <w:r w:rsidRPr="006A316D">
        <w:rPr>
          <w:rFonts w:ascii="Times New Roman" w:hAnsi="Times New Roman" w:cs="Times New Roman"/>
          <w:i/>
          <w:iCs/>
          <w:sz w:val="24"/>
          <w:szCs w:val="24"/>
        </w:rPr>
        <w:t>Bebekler, küçük çocuklar ve çocuklarda (28 gün ile 11 yaş arası):</w:t>
      </w:r>
    </w:p>
    <w:p w14:paraId="436AF346" w14:textId="77777777" w:rsidR="00933F4B" w:rsidRPr="006A316D" w:rsidRDefault="00933F4B" w:rsidP="00910A0A">
      <w:pPr>
        <w:spacing w:after="0" w:line="240" w:lineRule="auto"/>
        <w:ind w:left="284"/>
        <w:jc w:val="both"/>
        <w:rPr>
          <w:rFonts w:ascii="Times New Roman" w:hAnsi="Times New Roman" w:cs="Times New Roman"/>
          <w:sz w:val="24"/>
          <w:szCs w:val="24"/>
        </w:rPr>
      </w:pPr>
    </w:p>
    <w:tbl>
      <w:tblPr>
        <w:tblStyle w:val="TabloKlavuzu"/>
        <w:tblW w:w="9004" w:type="dxa"/>
        <w:tblInd w:w="392" w:type="dxa"/>
        <w:tblLook w:val="04A0" w:firstRow="1" w:lastRow="0" w:firstColumn="1" w:lastColumn="0" w:noHBand="0" w:noVBand="1"/>
      </w:tblPr>
      <w:tblGrid>
        <w:gridCol w:w="3022"/>
        <w:gridCol w:w="2991"/>
        <w:gridCol w:w="2991"/>
      </w:tblGrid>
      <w:tr w:rsidR="006A316D" w:rsidRPr="006A316D" w14:paraId="42CA4318" w14:textId="77777777" w:rsidTr="0052174A">
        <w:trPr>
          <w:trHeight w:val="285"/>
        </w:trPr>
        <w:tc>
          <w:tcPr>
            <w:tcW w:w="3022" w:type="dxa"/>
            <w:shd w:val="clear" w:color="auto" w:fill="A6A6A6" w:themeFill="background1" w:themeFillShade="A6"/>
          </w:tcPr>
          <w:p w14:paraId="7903AD1A" w14:textId="77777777" w:rsidR="0052174A" w:rsidRPr="006A316D" w:rsidRDefault="0052174A" w:rsidP="0052174A">
            <w:pPr>
              <w:pStyle w:val="Default"/>
              <w:rPr>
                <w:color w:val="auto"/>
              </w:rPr>
            </w:pPr>
            <w:r w:rsidRPr="006A316D">
              <w:rPr>
                <w:b/>
                <w:bCs/>
                <w:color w:val="auto"/>
              </w:rPr>
              <w:t xml:space="preserve">Endikasyon </w:t>
            </w:r>
          </w:p>
        </w:tc>
        <w:tc>
          <w:tcPr>
            <w:tcW w:w="2991" w:type="dxa"/>
            <w:shd w:val="clear" w:color="auto" w:fill="A6A6A6" w:themeFill="background1" w:themeFillShade="A6"/>
          </w:tcPr>
          <w:p w14:paraId="1D14B522" w14:textId="77777777" w:rsidR="0052174A" w:rsidRPr="006A316D" w:rsidRDefault="0052174A" w:rsidP="0052174A">
            <w:pPr>
              <w:pStyle w:val="Default"/>
              <w:rPr>
                <w:color w:val="auto"/>
              </w:rPr>
            </w:pPr>
            <w:r w:rsidRPr="006A316D">
              <w:rPr>
                <w:b/>
                <w:bCs/>
                <w:color w:val="auto"/>
              </w:rPr>
              <w:t xml:space="preserve">Pozoloji </w:t>
            </w:r>
          </w:p>
        </w:tc>
        <w:tc>
          <w:tcPr>
            <w:tcW w:w="2991" w:type="dxa"/>
            <w:shd w:val="clear" w:color="auto" w:fill="A6A6A6" w:themeFill="background1" w:themeFillShade="A6"/>
          </w:tcPr>
          <w:p w14:paraId="3E75A867" w14:textId="77777777" w:rsidR="0052174A" w:rsidRPr="006A316D" w:rsidRDefault="0052174A" w:rsidP="0052174A">
            <w:pPr>
              <w:pStyle w:val="Default"/>
              <w:rPr>
                <w:color w:val="auto"/>
              </w:rPr>
            </w:pPr>
            <w:r w:rsidRPr="006A316D">
              <w:rPr>
                <w:b/>
                <w:bCs/>
                <w:color w:val="auto"/>
              </w:rPr>
              <w:t xml:space="preserve">Öneri </w:t>
            </w:r>
          </w:p>
        </w:tc>
      </w:tr>
      <w:tr w:rsidR="006A316D" w:rsidRPr="006A316D" w14:paraId="4FB241CA" w14:textId="77777777" w:rsidTr="0052174A">
        <w:trPr>
          <w:trHeight w:val="1175"/>
        </w:trPr>
        <w:tc>
          <w:tcPr>
            <w:tcW w:w="3022" w:type="dxa"/>
          </w:tcPr>
          <w:p w14:paraId="647CDB17" w14:textId="77777777" w:rsidR="0052174A" w:rsidRPr="006A316D" w:rsidRDefault="0052174A" w:rsidP="0052174A">
            <w:pPr>
              <w:pStyle w:val="Default"/>
              <w:rPr>
                <w:color w:val="auto"/>
              </w:rPr>
            </w:pPr>
            <w:r w:rsidRPr="006A316D">
              <w:rPr>
                <w:color w:val="auto"/>
              </w:rPr>
              <w:t xml:space="preserve">- Mukozal kandidiyazis </w:t>
            </w:r>
          </w:p>
        </w:tc>
        <w:tc>
          <w:tcPr>
            <w:tcW w:w="2991" w:type="dxa"/>
          </w:tcPr>
          <w:p w14:paraId="24EDE65C" w14:textId="77777777" w:rsidR="0052174A" w:rsidRPr="006A316D" w:rsidRDefault="0052174A" w:rsidP="0052174A">
            <w:pPr>
              <w:pStyle w:val="Default"/>
              <w:rPr>
                <w:color w:val="auto"/>
              </w:rPr>
            </w:pPr>
            <w:r w:rsidRPr="006A316D">
              <w:rPr>
                <w:color w:val="auto"/>
              </w:rPr>
              <w:t xml:space="preserve">Başlangıç dozu: 6 mg/kg </w:t>
            </w:r>
          </w:p>
          <w:p w14:paraId="55AB2B91" w14:textId="77777777" w:rsidR="0052174A" w:rsidRPr="006A316D" w:rsidRDefault="0052174A" w:rsidP="0052174A">
            <w:pPr>
              <w:rPr>
                <w:rFonts w:ascii="Times New Roman" w:hAnsi="Times New Roman" w:cs="Times New Roman"/>
                <w:sz w:val="24"/>
                <w:szCs w:val="24"/>
              </w:rPr>
            </w:pPr>
            <w:r w:rsidRPr="006A316D">
              <w:rPr>
                <w:rFonts w:ascii="Times New Roman" w:hAnsi="Times New Roman" w:cs="Times New Roman"/>
                <w:sz w:val="24"/>
                <w:szCs w:val="24"/>
              </w:rPr>
              <w:t xml:space="preserve">Devam dozu: günde bir kez 3 mg/kg </w:t>
            </w:r>
          </w:p>
        </w:tc>
        <w:tc>
          <w:tcPr>
            <w:tcW w:w="2991" w:type="dxa"/>
          </w:tcPr>
          <w:p w14:paraId="22B332D8" w14:textId="77777777" w:rsidR="0052174A" w:rsidRPr="006A316D" w:rsidRDefault="0052174A" w:rsidP="0052174A">
            <w:pPr>
              <w:pStyle w:val="Default"/>
              <w:rPr>
                <w:color w:val="auto"/>
              </w:rPr>
            </w:pPr>
            <w:r w:rsidRPr="006A316D">
              <w:rPr>
                <w:color w:val="auto"/>
              </w:rPr>
              <w:t xml:space="preserve">Başlangıç dozu, stabil seviyeyi daha hızlı elde etmek için ilk günde kullanılabilir. </w:t>
            </w:r>
          </w:p>
        </w:tc>
      </w:tr>
      <w:tr w:rsidR="006A316D" w:rsidRPr="006A316D" w14:paraId="49078EBF" w14:textId="77777777" w:rsidTr="0052174A">
        <w:trPr>
          <w:trHeight w:val="570"/>
        </w:trPr>
        <w:tc>
          <w:tcPr>
            <w:tcW w:w="3022" w:type="dxa"/>
          </w:tcPr>
          <w:p w14:paraId="0492BA81" w14:textId="77777777" w:rsidR="0052174A" w:rsidRPr="006A316D" w:rsidRDefault="0052174A" w:rsidP="0052174A">
            <w:pPr>
              <w:pStyle w:val="Default"/>
              <w:rPr>
                <w:color w:val="auto"/>
              </w:rPr>
            </w:pPr>
            <w:r w:rsidRPr="006A316D">
              <w:rPr>
                <w:color w:val="auto"/>
              </w:rPr>
              <w:t xml:space="preserve">- </w:t>
            </w:r>
            <w:r w:rsidR="00840ABD" w:rsidRPr="006A316D">
              <w:rPr>
                <w:color w:val="auto"/>
              </w:rPr>
              <w:t>I</w:t>
            </w:r>
            <w:r w:rsidRPr="006A316D">
              <w:rPr>
                <w:color w:val="auto"/>
              </w:rPr>
              <w:t xml:space="preserve">nvazif kandidiyazis </w:t>
            </w:r>
          </w:p>
          <w:p w14:paraId="0C098B5B" w14:textId="77777777" w:rsidR="0052174A" w:rsidRPr="006A316D" w:rsidRDefault="0052174A" w:rsidP="0052174A">
            <w:pPr>
              <w:rPr>
                <w:rFonts w:ascii="Times New Roman" w:hAnsi="Times New Roman" w:cs="Times New Roman"/>
                <w:sz w:val="24"/>
                <w:szCs w:val="24"/>
              </w:rPr>
            </w:pPr>
            <w:r w:rsidRPr="006A316D">
              <w:rPr>
                <w:rFonts w:ascii="Times New Roman" w:hAnsi="Times New Roman" w:cs="Times New Roman"/>
                <w:sz w:val="24"/>
                <w:szCs w:val="24"/>
              </w:rPr>
              <w:t>- Kriptoko</w:t>
            </w:r>
            <w:r w:rsidR="00840ABD" w:rsidRPr="006A316D">
              <w:rPr>
                <w:rFonts w:ascii="Times New Roman" w:hAnsi="Times New Roman" w:cs="Times New Roman"/>
                <w:sz w:val="24"/>
                <w:szCs w:val="24"/>
              </w:rPr>
              <w:t>ksit</w:t>
            </w:r>
            <w:r w:rsidRPr="006A316D">
              <w:rPr>
                <w:rFonts w:ascii="Times New Roman" w:hAnsi="Times New Roman" w:cs="Times New Roman"/>
                <w:sz w:val="24"/>
                <w:szCs w:val="24"/>
              </w:rPr>
              <w:t xml:space="preserve"> menenjit </w:t>
            </w:r>
          </w:p>
        </w:tc>
        <w:tc>
          <w:tcPr>
            <w:tcW w:w="2991" w:type="dxa"/>
          </w:tcPr>
          <w:p w14:paraId="6533E724" w14:textId="77777777" w:rsidR="0052174A" w:rsidRPr="006A316D" w:rsidRDefault="0052174A" w:rsidP="0052174A">
            <w:pPr>
              <w:pStyle w:val="Default"/>
              <w:rPr>
                <w:color w:val="auto"/>
              </w:rPr>
            </w:pPr>
            <w:r w:rsidRPr="006A316D">
              <w:rPr>
                <w:color w:val="auto"/>
              </w:rPr>
              <w:t xml:space="preserve">Doz: günde bir kez 6-12 mg/kg </w:t>
            </w:r>
          </w:p>
        </w:tc>
        <w:tc>
          <w:tcPr>
            <w:tcW w:w="2991" w:type="dxa"/>
          </w:tcPr>
          <w:p w14:paraId="13373C0E" w14:textId="77777777" w:rsidR="0052174A" w:rsidRPr="006A316D" w:rsidRDefault="0052174A" w:rsidP="0052174A">
            <w:pPr>
              <w:pStyle w:val="Default"/>
              <w:rPr>
                <w:color w:val="auto"/>
              </w:rPr>
            </w:pPr>
            <w:r w:rsidRPr="006A316D">
              <w:rPr>
                <w:color w:val="auto"/>
              </w:rPr>
              <w:t xml:space="preserve">Enfeksiyonun ciddiyetine göre </w:t>
            </w:r>
          </w:p>
        </w:tc>
      </w:tr>
      <w:tr w:rsidR="006A316D" w:rsidRPr="006A316D" w14:paraId="6EFE0F6D" w14:textId="77777777" w:rsidTr="0052174A">
        <w:trPr>
          <w:trHeight w:val="1175"/>
        </w:trPr>
        <w:tc>
          <w:tcPr>
            <w:tcW w:w="3022" w:type="dxa"/>
          </w:tcPr>
          <w:p w14:paraId="41FC0EED" w14:textId="721302F9" w:rsidR="0052174A" w:rsidRPr="006A316D" w:rsidRDefault="0052174A" w:rsidP="0052174A">
            <w:pPr>
              <w:pStyle w:val="Default"/>
              <w:rPr>
                <w:color w:val="auto"/>
              </w:rPr>
            </w:pPr>
            <w:r w:rsidRPr="006A316D">
              <w:rPr>
                <w:color w:val="auto"/>
              </w:rPr>
              <w:lastRenderedPageBreak/>
              <w:t xml:space="preserve">- </w:t>
            </w:r>
            <w:r w:rsidR="00840ABD" w:rsidRPr="006A316D">
              <w:rPr>
                <w:color w:val="auto"/>
              </w:rPr>
              <w:t>N</w:t>
            </w:r>
            <w:r w:rsidRPr="006A316D">
              <w:rPr>
                <w:color w:val="auto"/>
              </w:rPr>
              <w:t xml:space="preserve">üks riski </w:t>
            </w:r>
            <w:r w:rsidR="00840ABD" w:rsidRPr="006A316D">
              <w:rPr>
                <w:color w:val="auto"/>
              </w:rPr>
              <w:t xml:space="preserve">yüksek </w:t>
            </w:r>
            <w:r w:rsidRPr="006A316D">
              <w:rPr>
                <w:color w:val="auto"/>
              </w:rPr>
              <w:t>çocuklarda</w:t>
            </w:r>
            <w:r w:rsidR="00840ABD" w:rsidRPr="006A316D">
              <w:rPr>
                <w:color w:val="auto"/>
              </w:rPr>
              <w:t>,</w:t>
            </w:r>
            <w:r w:rsidRPr="006A316D">
              <w:rPr>
                <w:color w:val="auto"/>
              </w:rPr>
              <w:t xml:space="preserve"> kriptokok</w:t>
            </w:r>
            <w:r w:rsidR="00840ABD" w:rsidRPr="006A316D">
              <w:rPr>
                <w:color w:val="auto"/>
              </w:rPr>
              <w:t>sik</w:t>
            </w:r>
            <w:r w:rsidRPr="006A316D">
              <w:rPr>
                <w:color w:val="auto"/>
              </w:rPr>
              <w:t xml:space="preserve"> menenjitinin nüksünü önlemek için bakım tedavisi </w:t>
            </w:r>
          </w:p>
        </w:tc>
        <w:tc>
          <w:tcPr>
            <w:tcW w:w="2991" w:type="dxa"/>
          </w:tcPr>
          <w:p w14:paraId="7DD57642" w14:textId="77777777" w:rsidR="0052174A" w:rsidRPr="006A316D" w:rsidRDefault="0052174A" w:rsidP="0052174A">
            <w:pPr>
              <w:pStyle w:val="Default"/>
              <w:rPr>
                <w:color w:val="auto"/>
              </w:rPr>
            </w:pPr>
            <w:r w:rsidRPr="006A316D">
              <w:rPr>
                <w:color w:val="auto"/>
              </w:rPr>
              <w:t xml:space="preserve">Doz: günde bir kez 6 mg/kg </w:t>
            </w:r>
          </w:p>
          <w:p w14:paraId="0126ABDB" w14:textId="77777777" w:rsidR="0052174A" w:rsidRPr="006A316D" w:rsidRDefault="0052174A" w:rsidP="0052174A">
            <w:pPr>
              <w:rPr>
                <w:rFonts w:ascii="Times New Roman" w:hAnsi="Times New Roman" w:cs="Times New Roman"/>
                <w:sz w:val="24"/>
                <w:szCs w:val="24"/>
              </w:rPr>
            </w:pPr>
          </w:p>
        </w:tc>
        <w:tc>
          <w:tcPr>
            <w:tcW w:w="2991" w:type="dxa"/>
          </w:tcPr>
          <w:p w14:paraId="439B96FF" w14:textId="77777777" w:rsidR="0052174A" w:rsidRPr="006A316D" w:rsidRDefault="0052174A" w:rsidP="0052174A">
            <w:pPr>
              <w:pStyle w:val="Default"/>
              <w:rPr>
                <w:color w:val="auto"/>
              </w:rPr>
            </w:pPr>
            <w:r w:rsidRPr="006A316D">
              <w:rPr>
                <w:color w:val="auto"/>
              </w:rPr>
              <w:t xml:space="preserve">Enfeksiyonun ciddiyetine göre </w:t>
            </w:r>
          </w:p>
          <w:p w14:paraId="42FC9572" w14:textId="77777777" w:rsidR="0052174A" w:rsidRPr="006A316D" w:rsidRDefault="0052174A" w:rsidP="0052174A">
            <w:pPr>
              <w:rPr>
                <w:rFonts w:ascii="Times New Roman" w:hAnsi="Times New Roman" w:cs="Times New Roman"/>
                <w:sz w:val="24"/>
                <w:szCs w:val="24"/>
              </w:rPr>
            </w:pPr>
          </w:p>
        </w:tc>
      </w:tr>
      <w:tr w:rsidR="0052174A" w:rsidRPr="006A316D" w14:paraId="6A590443" w14:textId="77777777" w:rsidTr="0052174A">
        <w:trPr>
          <w:trHeight w:val="1157"/>
        </w:trPr>
        <w:tc>
          <w:tcPr>
            <w:tcW w:w="3022" w:type="dxa"/>
          </w:tcPr>
          <w:p w14:paraId="23A2C0B6" w14:textId="77777777" w:rsidR="0052174A" w:rsidRPr="006A316D" w:rsidRDefault="0052174A" w:rsidP="0052174A">
            <w:pPr>
              <w:pStyle w:val="Default"/>
              <w:rPr>
                <w:color w:val="auto"/>
              </w:rPr>
            </w:pPr>
            <w:r w:rsidRPr="006A316D">
              <w:rPr>
                <w:color w:val="auto"/>
              </w:rPr>
              <w:t xml:space="preserve">- İmmün sistemi baskılanmış hastalarda </w:t>
            </w:r>
            <w:r w:rsidR="00840ABD" w:rsidRPr="006A316D">
              <w:rPr>
                <w:i/>
                <w:iCs/>
                <w:color w:val="auto"/>
              </w:rPr>
              <w:t>C</w:t>
            </w:r>
            <w:r w:rsidRPr="006A316D">
              <w:rPr>
                <w:i/>
                <w:iCs/>
                <w:color w:val="auto"/>
              </w:rPr>
              <w:t xml:space="preserve">andida </w:t>
            </w:r>
            <w:r w:rsidRPr="006A316D">
              <w:rPr>
                <w:color w:val="auto"/>
              </w:rPr>
              <w:t xml:space="preserve">profilaksisinde </w:t>
            </w:r>
          </w:p>
          <w:p w14:paraId="35C7C030" w14:textId="77777777" w:rsidR="0052174A" w:rsidRPr="006A316D" w:rsidRDefault="0052174A" w:rsidP="0052174A">
            <w:pPr>
              <w:rPr>
                <w:rFonts w:ascii="Times New Roman" w:hAnsi="Times New Roman" w:cs="Times New Roman"/>
                <w:sz w:val="24"/>
                <w:szCs w:val="24"/>
              </w:rPr>
            </w:pPr>
          </w:p>
        </w:tc>
        <w:tc>
          <w:tcPr>
            <w:tcW w:w="2991" w:type="dxa"/>
          </w:tcPr>
          <w:p w14:paraId="4B24C282" w14:textId="77777777" w:rsidR="0052174A" w:rsidRPr="006A316D" w:rsidRDefault="0052174A" w:rsidP="0052174A">
            <w:pPr>
              <w:pStyle w:val="Default"/>
              <w:rPr>
                <w:color w:val="auto"/>
              </w:rPr>
            </w:pPr>
            <w:r w:rsidRPr="006A316D">
              <w:rPr>
                <w:color w:val="auto"/>
              </w:rPr>
              <w:t xml:space="preserve">Doz: günde bir kez 3-12 mg/kg </w:t>
            </w:r>
          </w:p>
          <w:p w14:paraId="5C46E398" w14:textId="77777777" w:rsidR="0052174A" w:rsidRPr="006A316D" w:rsidRDefault="0052174A" w:rsidP="0052174A">
            <w:pPr>
              <w:rPr>
                <w:rFonts w:ascii="Times New Roman" w:hAnsi="Times New Roman" w:cs="Times New Roman"/>
                <w:sz w:val="24"/>
                <w:szCs w:val="24"/>
              </w:rPr>
            </w:pPr>
          </w:p>
        </w:tc>
        <w:tc>
          <w:tcPr>
            <w:tcW w:w="2991" w:type="dxa"/>
          </w:tcPr>
          <w:p w14:paraId="26962D6A" w14:textId="77777777" w:rsidR="0052174A" w:rsidRPr="006A316D" w:rsidRDefault="0052174A" w:rsidP="0052174A">
            <w:pPr>
              <w:pStyle w:val="Default"/>
              <w:rPr>
                <w:color w:val="auto"/>
              </w:rPr>
            </w:pPr>
            <w:r w:rsidRPr="006A316D">
              <w:rPr>
                <w:color w:val="auto"/>
              </w:rPr>
              <w:t>İndüklenmiş nötropeninin derecesine ve süresine bağlı olarak (</w:t>
            </w:r>
            <w:r w:rsidR="00840ABD" w:rsidRPr="006A316D">
              <w:rPr>
                <w:color w:val="auto"/>
              </w:rPr>
              <w:t>B</w:t>
            </w:r>
            <w:r w:rsidRPr="006A316D">
              <w:rPr>
                <w:color w:val="auto"/>
              </w:rPr>
              <w:t xml:space="preserve">kz. Yetişkinler pozolojisi) </w:t>
            </w:r>
          </w:p>
        </w:tc>
      </w:tr>
    </w:tbl>
    <w:p w14:paraId="7405667D" w14:textId="77777777" w:rsidR="00933F4B" w:rsidRPr="006A316D" w:rsidRDefault="00933F4B" w:rsidP="00910A0A">
      <w:pPr>
        <w:spacing w:after="0" w:line="240" w:lineRule="auto"/>
        <w:ind w:left="284"/>
        <w:jc w:val="both"/>
        <w:rPr>
          <w:rFonts w:ascii="Times New Roman" w:hAnsi="Times New Roman" w:cs="Times New Roman"/>
          <w:sz w:val="24"/>
          <w:szCs w:val="24"/>
        </w:rPr>
      </w:pPr>
    </w:p>
    <w:p w14:paraId="0E39B5AF" w14:textId="77777777" w:rsidR="00205FD6" w:rsidRPr="006A316D" w:rsidRDefault="00205FD6" w:rsidP="00205FD6">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i/>
          <w:iCs/>
          <w:sz w:val="24"/>
          <w:szCs w:val="24"/>
        </w:rPr>
        <w:t xml:space="preserve">Adölesanlarda (12-17 yaş arası): </w:t>
      </w:r>
    </w:p>
    <w:p w14:paraId="56FBC02E" w14:textId="77777777" w:rsidR="0011277B" w:rsidRPr="006A316D" w:rsidRDefault="00205FD6" w:rsidP="00205FD6">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Kilo</w:t>
      </w:r>
      <w:r w:rsidR="00840ABD" w:rsidRPr="006A316D">
        <w:rPr>
          <w:rFonts w:ascii="Times New Roman" w:hAnsi="Times New Roman" w:cs="Times New Roman"/>
          <w:sz w:val="24"/>
          <w:szCs w:val="24"/>
        </w:rPr>
        <w:t>ya</w:t>
      </w:r>
      <w:r w:rsidRPr="006A316D">
        <w:rPr>
          <w:rFonts w:ascii="Times New Roman" w:hAnsi="Times New Roman" w:cs="Times New Roman"/>
          <w:sz w:val="24"/>
          <w:szCs w:val="24"/>
        </w:rPr>
        <w:t xml:space="preserve"> ve pubertal gelişime bağlı olarak </w:t>
      </w:r>
      <w:r w:rsidR="00460A70" w:rsidRPr="006A316D">
        <w:rPr>
          <w:rFonts w:ascii="Times New Roman" w:hAnsi="Times New Roman" w:cs="Times New Roman"/>
          <w:sz w:val="24"/>
          <w:szCs w:val="24"/>
        </w:rPr>
        <w:t>doktor</w:t>
      </w:r>
      <w:r w:rsidRPr="006A316D">
        <w:rPr>
          <w:rFonts w:ascii="Times New Roman" w:hAnsi="Times New Roman" w:cs="Times New Roman"/>
          <w:sz w:val="24"/>
          <w:szCs w:val="24"/>
        </w:rPr>
        <w:t xml:space="preserve"> hangi pozoloji</w:t>
      </w:r>
      <w:r w:rsidR="00840ABD" w:rsidRPr="006A316D">
        <w:rPr>
          <w:rFonts w:ascii="Times New Roman" w:hAnsi="Times New Roman" w:cs="Times New Roman"/>
          <w:sz w:val="24"/>
          <w:szCs w:val="24"/>
        </w:rPr>
        <w:t>nin</w:t>
      </w:r>
      <w:r w:rsidRPr="006A316D">
        <w:rPr>
          <w:rFonts w:ascii="Times New Roman" w:hAnsi="Times New Roman" w:cs="Times New Roman"/>
          <w:sz w:val="24"/>
          <w:szCs w:val="24"/>
        </w:rPr>
        <w:t xml:space="preserve"> (yetişkin veya çocuk)</w:t>
      </w:r>
      <w:r w:rsidR="00840ABD" w:rsidRPr="006A316D">
        <w:rPr>
          <w:rFonts w:ascii="Times New Roman" w:hAnsi="Times New Roman" w:cs="Times New Roman"/>
          <w:sz w:val="24"/>
          <w:szCs w:val="24"/>
        </w:rPr>
        <w:t xml:space="preserve">daha </w:t>
      </w:r>
      <w:r w:rsidRPr="006A316D">
        <w:rPr>
          <w:rFonts w:ascii="Times New Roman" w:hAnsi="Times New Roman" w:cs="Times New Roman"/>
          <w:sz w:val="24"/>
          <w:szCs w:val="24"/>
        </w:rPr>
        <w:t xml:space="preserve"> uygun ol</w:t>
      </w:r>
      <w:r w:rsidR="00840ABD" w:rsidRPr="006A316D">
        <w:rPr>
          <w:rFonts w:ascii="Times New Roman" w:hAnsi="Times New Roman" w:cs="Times New Roman"/>
          <w:sz w:val="24"/>
          <w:szCs w:val="24"/>
        </w:rPr>
        <w:t>acağına</w:t>
      </w:r>
      <w:r w:rsidRPr="006A316D">
        <w:rPr>
          <w:rFonts w:ascii="Times New Roman" w:hAnsi="Times New Roman" w:cs="Times New Roman"/>
          <w:sz w:val="24"/>
          <w:szCs w:val="24"/>
        </w:rPr>
        <w:t xml:space="preserve"> </w:t>
      </w:r>
      <w:r w:rsidR="00840ABD" w:rsidRPr="006A316D">
        <w:rPr>
          <w:rFonts w:ascii="Times New Roman" w:hAnsi="Times New Roman" w:cs="Times New Roman"/>
          <w:sz w:val="24"/>
          <w:szCs w:val="24"/>
        </w:rPr>
        <w:t>karar vermelidir</w:t>
      </w:r>
      <w:r w:rsidRPr="006A316D">
        <w:rPr>
          <w:rFonts w:ascii="Times New Roman" w:hAnsi="Times New Roman" w:cs="Times New Roman"/>
          <w:sz w:val="24"/>
          <w:szCs w:val="24"/>
        </w:rPr>
        <w:t>. Klinik veriler</w:t>
      </w:r>
      <w:r w:rsidR="00840ABD" w:rsidRPr="006A316D">
        <w:rPr>
          <w:rFonts w:ascii="Times New Roman" w:hAnsi="Times New Roman" w:cs="Times New Roman"/>
          <w:sz w:val="24"/>
          <w:szCs w:val="24"/>
        </w:rPr>
        <w:t>e göre</w:t>
      </w:r>
      <w:r w:rsidRPr="006A316D">
        <w:rPr>
          <w:rFonts w:ascii="Times New Roman" w:hAnsi="Times New Roman" w:cs="Times New Roman"/>
          <w:sz w:val="24"/>
          <w:szCs w:val="24"/>
        </w:rPr>
        <w:t xml:space="preserve"> çocuklar</w:t>
      </w:r>
      <w:r w:rsidR="0011277B" w:rsidRPr="006A316D">
        <w:rPr>
          <w:rFonts w:ascii="Times New Roman" w:hAnsi="Times New Roman" w:cs="Times New Roman"/>
          <w:sz w:val="24"/>
          <w:szCs w:val="24"/>
        </w:rPr>
        <w:t>daki</w:t>
      </w:r>
      <w:r w:rsidRPr="006A316D">
        <w:rPr>
          <w:rFonts w:ascii="Times New Roman" w:hAnsi="Times New Roman" w:cs="Times New Roman"/>
          <w:sz w:val="24"/>
          <w:szCs w:val="24"/>
        </w:rPr>
        <w:t xml:space="preserve"> flukonazol klirensi </w:t>
      </w:r>
      <w:r w:rsidR="0011277B" w:rsidRPr="006A316D">
        <w:rPr>
          <w:rFonts w:ascii="Times New Roman" w:hAnsi="Times New Roman" w:cs="Times New Roman"/>
          <w:sz w:val="24"/>
          <w:szCs w:val="24"/>
        </w:rPr>
        <w:t>yetişkinlerde görünenden daha yüksektir.</w:t>
      </w:r>
      <w:r w:rsidRPr="006A316D">
        <w:rPr>
          <w:rFonts w:ascii="Times New Roman" w:hAnsi="Times New Roman" w:cs="Times New Roman"/>
          <w:sz w:val="24"/>
          <w:szCs w:val="24"/>
        </w:rPr>
        <w:t xml:space="preserve"> </w:t>
      </w:r>
    </w:p>
    <w:p w14:paraId="13089B1A" w14:textId="77777777" w:rsidR="0011277B" w:rsidRPr="006A316D" w:rsidRDefault="0011277B" w:rsidP="00205FD6">
      <w:pPr>
        <w:spacing w:after="0" w:line="240" w:lineRule="auto"/>
        <w:ind w:left="284"/>
        <w:jc w:val="both"/>
        <w:rPr>
          <w:rFonts w:ascii="Times New Roman" w:hAnsi="Times New Roman" w:cs="Times New Roman"/>
          <w:sz w:val="24"/>
          <w:szCs w:val="24"/>
        </w:rPr>
      </w:pPr>
    </w:p>
    <w:p w14:paraId="4C32E79F" w14:textId="77777777" w:rsidR="00205FD6" w:rsidRPr="006A316D" w:rsidRDefault="00205FD6" w:rsidP="00205FD6">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Erişkinlerde 100, 200 ve 400 mg'lık bir doz, benzer bir sistemik maruziyet elde etmek için çocuklarda 3, 6 ve 12 mg/kg'lık bir doza karşılık gelir. </w:t>
      </w:r>
    </w:p>
    <w:p w14:paraId="57EC9AEC" w14:textId="77777777" w:rsidR="00205FD6" w:rsidRPr="006A316D" w:rsidRDefault="00205FD6" w:rsidP="00205FD6">
      <w:pPr>
        <w:spacing w:after="0" w:line="240" w:lineRule="auto"/>
        <w:ind w:left="284"/>
        <w:jc w:val="both"/>
        <w:rPr>
          <w:rFonts w:ascii="Times New Roman" w:hAnsi="Times New Roman" w:cs="Times New Roman"/>
          <w:sz w:val="24"/>
          <w:szCs w:val="24"/>
        </w:rPr>
      </w:pPr>
    </w:p>
    <w:p w14:paraId="2B00399C" w14:textId="77777777" w:rsidR="00205FD6" w:rsidRPr="006A316D" w:rsidRDefault="00205FD6" w:rsidP="00205FD6">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Pediyatrik popülasyonda genital kandidiyaz</w:t>
      </w:r>
      <w:r w:rsidR="00460A70" w:rsidRPr="006A316D">
        <w:rPr>
          <w:rFonts w:ascii="Times New Roman" w:hAnsi="Times New Roman" w:cs="Times New Roman"/>
          <w:sz w:val="24"/>
          <w:szCs w:val="24"/>
        </w:rPr>
        <w:t>is</w:t>
      </w:r>
      <w:r w:rsidRPr="006A316D">
        <w:rPr>
          <w:rFonts w:ascii="Times New Roman" w:hAnsi="Times New Roman" w:cs="Times New Roman"/>
          <w:sz w:val="24"/>
          <w:szCs w:val="24"/>
        </w:rPr>
        <w:t xml:space="preserve"> endikasyonunun güvenli</w:t>
      </w:r>
      <w:r w:rsidR="0011277B" w:rsidRPr="006A316D">
        <w:rPr>
          <w:rFonts w:ascii="Times New Roman" w:hAnsi="Times New Roman" w:cs="Times New Roman"/>
          <w:sz w:val="24"/>
          <w:szCs w:val="24"/>
        </w:rPr>
        <w:t>li</w:t>
      </w:r>
      <w:r w:rsidRPr="006A316D">
        <w:rPr>
          <w:rFonts w:ascii="Times New Roman" w:hAnsi="Times New Roman" w:cs="Times New Roman"/>
          <w:sz w:val="24"/>
          <w:szCs w:val="24"/>
        </w:rPr>
        <w:t>ği ve etki</w:t>
      </w:r>
      <w:r w:rsidR="0011277B" w:rsidRPr="006A316D">
        <w:rPr>
          <w:rFonts w:ascii="Times New Roman" w:hAnsi="Times New Roman" w:cs="Times New Roman"/>
          <w:sz w:val="24"/>
          <w:szCs w:val="24"/>
        </w:rPr>
        <w:t>li</w:t>
      </w:r>
      <w:r w:rsidRPr="006A316D">
        <w:rPr>
          <w:rFonts w:ascii="Times New Roman" w:hAnsi="Times New Roman" w:cs="Times New Roman"/>
          <w:sz w:val="24"/>
          <w:szCs w:val="24"/>
        </w:rPr>
        <w:t>liği belirlenmemiştir</w:t>
      </w:r>
      <w:r w:rsidR="0011277B" w:rsidRPr="006A316D">
        <w:rPr>
          <w:rFonts w:ascii="Times New Roman" w:hAnsi="Times New Roman" w:cs="Times New Roman"/>
          <w:sz w:val="24"/>
          <w:szCs w:val="24"/>
        </w:rPr>
        <w:t>.</w:t>
      </w:r>
      <w:r w:rsidRPr="006A316D">
        <w:rPr>
          <w:rFonts w:ascii="Times New Roman" w:hAnsi="Times New Roman" w:cs="Times New Roman"/>
          <w:sz w:val="24"/>
          <w:szCs w:val="24"/>
        </w:rPr>
        <w:t xml:space="preserve"> (Diğer pediyatrik endikasyonlar için mevcut mevcut güvenlik verileri için </w:t>
      </w:r>
      <w:r w:rsidR="0011277B" w:rsidRPr="006A316D">
        <w:rPr>
          <w:rFonts w:ascii="Times New Roman" w:hAnsi="Times New Roman" w:cs="Times New Roman"/>
          <w:sz w:val="24"/>
          <w:szCs w:val="24"/>
        </w:rPr>
        <w:t>B</w:t>
      </w:r>
      <w:r w:rsidRPr="006A316D">
        <w:rPr>
          <w:rFonts w:ascii="Times New Roman" w:hAnsi="Times New Roman" w:cs="Times New Roman"/>
          <w:sz w:val="24"/>
          <w:szCs w:val="24"/>
        </w:rPr>
        <w:t xml:space="preserve">kz. Bölüm 4.8). Eğer ergenlerde genital kandidiyaz tedavisi zorunlu ise (12-17 yaş arası), pozoloji yetişkinlerin pozolojisi ile aynı olmalıdır. </w:t>
      </w:r>
    </w:p>
    <w:p w14:paraId="42AEE266" w14:textId="77777777" w:rsidR="00205FD6" w:rsidRPr="006A316D" w:rsidRDefault="00205FD6" w:rsidP="00205FD6">
      <w:pPr>
        <w:spacing w:after="0" w:line="240" w:lineRule="auto"/>
        <w:ind w:left="284"/>
        <w:jc w:val="both"/>
        <w:rPr>
          <w:rFonts w:ascii="Times New Roman" w:hAnsi="Times New Roman" w:cs="Times New Roman"/>
          <w:sz w:val="24"/>
          <w:szCs w:val="24"/>
        </w:rPr>
      </w:pPr>
    </w:p>
    <w:p w14:paraId="4A303CE5" w14:textId="77777777" w:rsidR="00205FD6" w:rsidRPr="006A316D" w:rsidRDefault="00205FD6" w:rsidP="00205FD6">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Yenidoğanlarda (0-27 gün) </w:t>
      </w:r>
    </w:p>
    <w:p w14:paraId="379CEEDD" w14:textId="77777777" w:rsidR="00933F4B" w:rsidRPr="006A316D" w:rsidRDefault="00205FD6" w:rsidP="00205FD6">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Yenidoğanlarda flukonazol atılımı yavaştır. Yenidoğan bebeklerde bu pozolojiyi desteklemek için birkaç farmakokinetik veri vardır (</w:t>
      </w:r>
      <w:r w:rsidR="0011277B" w:rsidRPr="006A316D">
        <w:rPr>
          <w:rFonts w:ascii="Times New Roman" w:hAnsi="Times New Roman" w:cs="Times New Roman"/>
          <w:sz w:val="24"/>
          <w:szCs w:val="24"/>
        </w:rPr>
        <w:t>B</w:t>
      </w:r>
      <w:r w:rsidRPr="006A316D">
        <w:rPr>
          <w:rFonts w:ascii="Times New Roman" w:hAnsi="Times New Roman" w:cs="Times New Roman"/>
          <w:sz w:val="24"/>
          <w:szCs w:val="24"/>
        </w:rPr>
        <w:t>kz. Bölüm 5.2).</w:t>
      </w:r>
    </w:p>
    <w:p w14:paraId="1A846DAD" w14:textId="77777777" w:rsidR="00205FD6" w:rsidRPr="006A316D" w:rsidRDefault="00205FD6" w:rsidP="00205FD6">
      <w:pPr>
        <w:spacing w:after="0" w:line="240" w:lineRule="auto"/>
        <w:ind w:left="284"/>
        <w:jc w:val="both"/>
        <w:rPr>
          <w:rFonts w:ascii="Times New Roman" w:hAnsi="Times New Roman" w:cs="Times New Roman"/>
          <w:sz w:val="24"/>
          <w:szCs w:val="24"/>
        </w:rPr>
      </w:pPr>
    </w:p>
    <w:tbl>
      <w:tblPr>
        <w:tblStyle w:val="TabloKlavuzu"/>
        <w:tblW w:w="0" w:type="auto"/>
        <w:tblInd w:w="392" w:type="dxa"/>
        <w:tblLook w:val="04A0" w:firstRow="1" w:lastRow="0" w:firstColumn="1" w:lastColumn="0" w:noHBand="0" w:noVBand="1"/>
      </w:tblPr>
      <w:tblGrid>
        <w:gridCol w:w="3118"/>
        <w:gridCol w:w="2784"/>
        <w:gridCol w:w="2886"/>
      </w:tblGrid>
      <w:tr w:rsidR="006A316D" w:rsidRPr="006A316D" w14:paraId="305F53E9" w14:textId="77777777" w:rsidTr="00205FD6">
        <w:tc>
          <w:tcPr>
            <w:tcW w:w="3118" w:type="dxa"/>
            <w:shd w:val="clear" w:color="auto" w:fill="A6A6A6" w:themeFill="background1" w:themeFillShade="A6"/>
          </w:tcPr>
          <w:tbl>
            <w:tblPr>
              <w:tblW w:w="0" w:type="auto"/>
              <w:tblBorders>
                <w:top w:val="nil"/>
                <w:left w:val="nil"/>
                <w:bottom w:val="nil"/>
                <w:right w:val="nil"/>
              </w:tblBorders>
              <w:tblLook w:val="0000" w:firstRow="0" w:lastRow="0" w:firstColumn="0" w:lastColumn="0" w:noHBand="0" w:noVBand="0"/>
            </w:tblPr>
            <w:tblGrid>
              <w:gridCol w:w="1330"/>
            </w:tblGrid>
            <w:tr w:rsidR="006A316D" w:rsidRPr="006A316D" w14:paraId="215628A8" w14:textId="77777777">
              <w:trPr>
                <w:trHeight w:val="166"/>
              </w:trPr>
              <w:tc>
                <w:tcPr>
                  <w:tcW w:w="0" w:type="auto"/>
                </w:tcPr>
                <w:p w14:paraId="65705412" w14:textId="77777777" w:rsidR="00205FD6" w:rsidRPr="006A316D" w:rsidRDefault="00205FD6" w:rsidP="00205FD6">
                  <w:pPr>
                    <w:spacing w:after="0" w:line="240" w:lineRule="auto"/>
                    <w:jc w:val="both"/>
                    <w:rPr>
                      <w:rFonts w:ascii="Times New Roman" w:hAnsi="Times New Roman" w:cs="Times New Roman"/>
                      <w:sz w:val="24"/>
                      <w:szCs w:val="24"/>
                    </w:rPr>
                  </w:pPr>
                  <w:r w:rsidRPr="006A316D">
                    <w:rPr>
                      <w:rFonts w:ascii="Times New Roman" w:hAnsi="Times New Roman" w:cs="Times New Roman"/>
                      <w:b/>
                      <w:bCs/>
                      <w:sz w:val="24"/>
                      <w:szCs w:val="24"/>
                    </w:rPr>
                    <w:t xml:space="preserve">Yaş aralığı </w:t>
                  </w:r>
                </w:p>
              </w:tc>
            </w:tr>
          </w:tbl>
          <w:p w14:paraId="01628103" w14:textId="77777777" w:rsidR="00205FD6" w:rsidRPr="006A316D" w:rsidRDefault="00205FD6" w:rsidP="00205FD6">
            <w:pPr>
              <w:jc w:val="both"/>
              <w:rPr>
                <w:rFonts w:ascii="Times New Roman" w:hAnsi="Times New Roman" w:cs="Times New Roman"/>
                <w:sz w:val="24"/>
                <w:szCs w:val="24"/>
              </w:rPr>
            </w:pPr>
          </w:p>
        </w:tc>
        <w:tc>
          <w:tcPr>
            <w:tcW w:w="2784" w:type="dxa"/>
            <w:shd w:val="clear" w:color="auto" w:fill="A6A6A6" w:themeFill="background1" w:themeFillShade="A6"/>
          </w:tcPr>
          <w:p w14:paraId="3AFC0A9C" w14:textId="77777777" w:rsidR="00205FD6" w:rsidRPr="006A316D" w:rsidRDefault="00205FD6" w:rsidP="00205FD6">
            <w:pPr>
              <w:pStyle w:val="Default"/>
              <w:rPr>
                <w:color w:val="auto"/>
                <w:sz w:val="23"/>
                <w:szCs w:val="23"/>
              </w:rPr>
            </w:pPr>
            <w:r w:rsidRPr="006A316D">
              <w:rPr>
                <w:b/>
                <w:bCs/>
                <w:color w:val="auto"/>
                <w:sz w:val="23"/>
                <w:szCs w:val="23"/>
              </w:rPr>
              <w:t xml:space="preserve">Pozoloji </w:t>
            </w:r>
          </w:p>
        </w:tc>
        <w:tc>
          <w:tcPr>
            <w:tcW w:w="2886" w:type="dxa"/>
            <w:shd w:val="clear" w:color="auto" w:fill="A6A6A6" w:themeFill="background1" w:themeFillShade="A6"/>
          </w:tcPr>
          <w:p w14:paraId="722FD730" w14:textId="77777777" w:rsidR="00205FD6" w:rsidRPr="006A316D" w:rsidRDefault="00205FD6" w:rsidP="00205FD6">
            <w:pPr>
              <w:pStyle w:val="Default"/>
              <w:rPr>
                <w:color w:val="auto"/>
                <w:sz w:val="23"/>
                <w:szCs w:val="23"/>
              </w:rPr>
            </w:pPr>
            <w:r w:rsidRPr="006A316D">
              <w:rPr>
                <w:b/>
                <w:bCs/>
                <w:color w:val="auto"/>
                <w:sz w:val="23"/>
                <w:szCs w:val="23"/>
              </w:rPr>
              <w:t xml:space="preserve">Öneri </w:t>
            </w:r>
          </w:p>
        </w:tc>
      </w:tr>
      <w:tr w:rsidR="006A316D" w:rsidRPr="006A316D" w14:paraId="3F697762" w14:textId="77777777" w:rsidTr="00205FD6">
        <w:tc>
          <w:tcPr>
            <w:tcW w:w="3118" w:type="dxa"/>
          </w:tcPr>
          <w:p w14:paraId="5422D4B4" w14:textId="77777777" w:rsidR="00205FD6" w:rsidRPr="006A316D" w:rsidRDefault="00205FD6" w:rsidP="00205FD6">
            <w:pPr>
              <w:ind w:right="-104"/>
              <w:jc w:val="both"/>
              <w:rPr>
                <w:rFonts w:ascii="Times New Roman" w:hAnsi="Times New Roman" w:cs="Times New Roman"/>
                <w:sz w:val="24"/>
                <w:szCs w:val="24"/>
              </w:rPr>
            </w:pPr>
            <w:r w:rsidRPr="006A316D">
              <w:rPr>
                <w:rFonts w:ascii="Times New Roman" w:hAnsi="Times New Roman" w:cs="Times New Roman"/>
                <w:sz w:val="24"/>
                <w:szCs w:val="24"/>
              </w:rPr>
              <w:t>Yeni</w:t>
            </w:r>
            <w:r w:rsidR="0011277B" w:rsidRPr="006A316D">
              <w:rPr>
                <w:rFonts w:ascii="Times New Roman" w:hAnsi="Times New Roman" w:cs="Times New Roman"/>
                <w:sz w:val="24"/>
                <w:szCs w:val="24"/>
              </w:rPr>
              <w:t xml:space="preserve"> </w:t>
            </w:r>
            <w:r w:rsidRPr="006A316D">
              <w:rPr>
                <w:rFonts w:ascii="Times New Roman" w:hAnsi="Times New Roman" w:cs="Times New Roman"/>
                <w:sz w:val="24"/>
                <w:szCs w:val="24"/>
              </w:rPr>
              <w:t>doğan (0-14 gün)</w:t>
            </w:r>
          </w:p>
        </w:tc>
        <w:tc>
          <w:tcPr>
            <w:tcW w:w="2784" w:type="dxa"/>
          </w:tcPr>
          <w:p w14:paraId="5746ED08" w14:textId="77777777" w:rsidR="00205FD6" w:rsidRPr="006A316D" w:rsidRDefault="00205FD6" w:rsidP="00205FD6">
            <w:pPr>
              <w:pStyle w:val="Default"/>
              <w:rPr>
                <w:color w:val="auto"/>
                <w:sz w:val="23"/>
                <w:szCs w:val="23"/>
              </w:rPr>
            </w:pPr>
            <w:r w:rsidRPr="006A316D">
              <w:rPr>
                <w:color w:val="auto"/>
                <w:sz w:val="23"/>
                <w:szCs w:val="23"/>
              </w:rPr>
              <w:t xml:space="preserve">Bebekler ve çocuklar için aynı mg/kg doz her 72 saatte bir verilmelidir. </w:t>
            </w:r>
          </w:p>
        </w:tc>
        <w:tc>
          <w:tcPr>
            <w:tcW w:w="2886" w:type="dxa"/>
          </w:tcPr>
          <w:p w14:paraId="57003E78" w14:textId="77777777" w:rsidR="00205FD6" w:rsidRPr="006A316D" w:rsidRDefault="00205FD6" w:rsidP="00205FD6">
            <w:pPr>
              <w:pStyle w:val="Default"/>
              <w:rPr>
                <w:color w:val="auto"/>
                <w:sz w:val="23"/>
                <w:szCs w:val="23"/>
              </w:rPr>
            </w:pPr>
            <w:r w:rsidRPr="006A316D">
              <w:rPr>
                <w:color w:val="auto"/>
                <w:sz w:val="23"/>
                <w:szCs w:val="23"/>
              </w:rPr>
              <w:t>Her 72 saatte bir maksimum 12 mg/kg doz aşılmamalıdır</w:t>
            </w:r>
            <w:r w:rsidR="0011277B" w:rsidRPr="006A316D">
              <w:rPr>
                <w:color w:val="auto"/>
                <w:sz w:val="23"/>
                <w:szCs w:val="23"/>
              </w:rPr>
              <w:t>.</w:t>
            </w:r>
            <w:r w:rsidRPr="006A316D">
              <w:rPr>
                <w:color w:val="auto"/>
                <w:sz w:val="23"/>
                <w:szCs w:val="23"/>
              </w:rPr>
              <w:t xml:space="preserve"> </w:t>
            </w:r>
          </w:p>
        </w:tc>
      </w:tr>
      <w:tr w:rsidR="00205FD6" w:rsidRPr="006A316D" w14:paraId="7EDB6A07" w14:textId="77777777" w:rsidTr="00205FD6">
        <w:tc>
          <w:tcPr>
            <w:tcW w:w="3118" w:type="dxa"/>
          </w:tcPr>
          <w:p w14:paraId="4C15B2C2" w14:textId="77777777" w:rsidR="00205FD6" w:rsidRPr="006A316D" w:rsidRDefault="00205FD6" w:rsidP="00205FD6">
            <w:pPr>
              <w:ind w:right="-104"/>
              <w:jc w:val="both"/>
              <w:rPr>
                <w:rFonts w:ascii="Times New Roman" w:hAnsi="Times New Roman" w:cs="Times New Roman"/>
                <w:sz w:val="24"/>
                <w:szCs w:val="24"/>
              </w:rPr>
            </w:pPr>
            <w:r w:rsidRPr="006A316D">
              <w:rPr>
                <w:rFonts w:ascii="Times New Roman" w:hAnsi="Times New Roman" w:cs="Times New Roman"/>
                <w:sz w:val="24"/>
                <w:szCs w:val="24"/>
              </w:rPr>
              <w:t>Yeni</w:t>
            </w:r>
            <w:r w:rsidR="0011277B" w:rsidRPr="006A316D">
              <w:rPr>
                <w:rFonts w:ascii="Times New Roman" w:hAnsi="Times New Roman" w:cs="Times New Roman"/>
                <w:sz w:val="24"/>
                <w:szCs w:val="24"/>
              </w:rPr>
              <w:t xml:space="preserve"> </w:t>
            </w:r>
            <w:r w:rsidRPr="006A316D">
              <w:rPr>
                <w:rFonts w:ascii="Times New Roman" w:hAnsi="Times New Roman" w:cs="Times New Roman"/>
                <w:sz w:val="24"/>
                <w:szCs w:val="24"/>
              </w:rPr>
              <w:t>doğan (15-27 gün)</w:t>
            </w:r>
          </w:p>
        </w:tc>
        <w:tc>
          <w:tcPr>
            <w:tcW w:w="2784" w:type="dxa"/>
          </w:tcPr>
          <w:p w14:paraId="7777933E" w14:textId="77777777" w:rsidR="00205FD6" w:rsidRPr="006A316D" w:rsidRDefault="00205FD6" w:rsidP="00205FD6">
            <w:pPr>
              <w:pStyle w:val="Default"/>
              <w:rPr>
                <w:color w:val="auto"/>
                <w:sz w:val="23"/>
                <w:szCs w:val="23"/>
              </w:rPr>
            </w:pPr>
            <w:r w:rsidRPr="006A316D">
              <w:rPr>
                <w:color w:val="auto"/>
                <w:sz w:val="23"/>
                <w:szCs w:val="23"/>
              </w:rPr>
              <w:t xml:space="preserve">Bebekler ve çocuklar için aynı mg/kg doz her 48 saatte bir verilmelidir. </w:t>
            </w:r>
          </w:p>
        </w:tc>
        <w:tc>
          <w:tcPr>
            <w:tcW w:w="2886" w:type="dxa"/>
          </w:tcPr>
          <w:p w14:paraId="41589866" w14:textId="77777777" w:rsidR="00205FD6" w:rsidRPr="006A316D" w:rsidRDefault="00205FD6" w:rsidP="00205FD6">
            <w:pPr>
              <w:pStyle w:val="Default"/>
              <w:rPr>
                <w:color w:val="auto"/>
                <w:sz w:val="23"/>
                <w:szCs w:val="23"/>
              </w:rPr>
            </w:pPr>
            <w:r w:rsidRPr="006A316D">
              <w:rPr>
                <w:color w:val="auto"/>
                <w:sz w:val="23"/>
                <w:szCs w:val="23"/>
              </w:rPr>
              <w:t>Her 48 saatte bir maksimum 12 mg/kg doz aşılmamalıdır</w:t>
            </w:r>
            <w:r w:rsidR="0011277B" w:rsidRPr="006A316D">
              <w:rPr>
                <w:color w:val="auto"/>
                <w:sz w:val="23"/>
                <w:szCs w:val="23"/>
              </w:rPr>
              <w:t>.</w:t>
            </w:r>
          </w:p>
        </w:tc>
      </w:tr>
    </w:tbl>
    <w:p w14:paraId="427F7ABD" w14:textId="77777777" w:rsidR="00205FD6" w:rsidRPr="006A316D" w:rsidRDefault="00205FD6" w:rsidP="00205FD6">
      <w:pPr>
        <w:spacing w:after="0" w:line="240" w:lineRule="auto"/>
        <w:ind w:left="284"/>
        <w:jc w:val="both"/>
        <w:rPr>
          <w:rFonts w:ascii="Times New Roman" w:hAnsi="Times New Roman" w:cs="Times New Roman"/>
          <w:sz w:val="24"/>
          <w:szCs w:val="24"/>
        </w:rPr>
      </w:pPr>
    </w:p>
    <w:p w14:paraId="2F948997" w14:textId="77777777" w:rsidR="00205FD6" w:rsidRPr="006A316D" w:rsidRDefault="00205FD6" w:rsidP="00205FD6">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Hekim yaş, kilo ve gerekli doza göre en uygun farmasötik formu reçete etmelidir. Kapsül formülasyonu, bebeklerde ve küçük çocuklarda kullanılmak üzere uyarlanmamıştır. Bu popülasyonda daha uygun olan flukonazolün oral sıvı </w:t>
      </w:r>
      <w:bookmarkStart w:id="0" w:name="_Hlk67477511"/>
      <w:r w:rsidRPr="006A316D">
        <w:rPr>
          <w:rFonts w:ascii="Times New Roman" w:hAnsi="Times New Roman" w:cs="Times New Roman"/>
          <w:sz w:val="24"/>
          <w:szCs w:val="24"/>
        </w:rPr>
        <w:t>formülasyonları</w:t>
      </w:r>
      <w:r w:rsidR="00460A70" w:rsidRPr="006A316D">
        <w:rPr>
          <w:rFonts w:ascii="Times New Roman" w:hAnsi="Times New Roman" w:cs="Times New Roman"/>
          <w:sz w:val="24"/>
          <w:szCs w:val="24"/>
        </w:rPr>
        <w:t>nın kullanımı uygundur</w:t>
      </w:r>
      <w:r w:rsidRPr="006A316D">
        <w:rPr>
          <w:rFonts w:ascii="Times New Roman" w:hAnsi="Times New Roman" w:cs="Times New Roman"/>
          <w:sz w:val="24"/>
          <w:szCs w:val="24"/>
        </w:rPr>
        <w:t xml:space="preserve">. </w:t>
      </w:r>
    </w:p>
    <w:bookmarkEnd w:id="0"/>
    <w:p w14:paraId="706F3307" w14:textId="77777777" w:rsidR="00205FD6" w:rsidRPr="006A316D" w:rsidRDefault="00205FD6" w:rsidP="00910A0A">
      <w:pPr>
        <w:spacing w:after="0" w:line="240" w:lineRule="auto"/>
        <w:ind w:left="284"/>
        <w:jc w:val="both"/>
        <w:rPr>
          <w:rFonts w:ascii="Times New Roman" w:hAnsi="Times New Roman" w:cs="Times New Roman"/>
          <w:sz w:val="24"/>
          <w:szCs w:val="24"/>
        </w:rPr>
      </w:pPr>
    </w:p>
    <w:p w14:paraId="75059730" w14:textId="77777777" w:rsidR="00ED2805" w:rsidRPr="006A316D" w:rsidRDefault="00ED2805" w:rsidP="00910A0A">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Geriyatrik popülasyon:</w:t>
      </w:r>
    </w:p>
    <w:p w14:paraId="7286122F" w14:textId="77777777" w:rsidR="00ED2805" w:rsidRPr="006A316D" w:rsidRDefault="00ED2805" w:rsidP="00910A0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Renal bozukluk belirtilerinin olmadığı hallerde, normal doz tavsiyesi benimsenmelidir. Renal</w:t>
      </w:r>
      <w:r w:rsidR="001E74BF" w:rsidRPr="006A316D">
        <w:rPr>
          <w:rFonts w:ascii="Times New Roman" w:hAnsi="Times New Roman" w:cs="Times New Roman"/>
          <w:sz w:val="24"/>
          <w:szCs w:val="24"/>
        </w:rPr>
        <w:t xml:space="preserve"> </w:t>
      </w:r>
      <w:r w:rsidRPr="006A316D">
        <w:rPr>
          <w:rFonts w:ascii="Times New Roman" w:hAnsi="Times New Roman" w:cs="Times New Roman"/>
          <w:sz w:val="24"/>
          <w:szCs w:val="24"/>
        </w:rPr>
        <w:t>bozukluğu olan hastalarda (kreatinin kl</w:t>
      </w:r>
      <w:r w:rsidR="00394228" w:rsidRPr="006A316D">
        <w:rPr>
          <w:rFonts w:ascii="Times New Roman" w:hAnsi="Times New Roman" w:cs="Times New Roman"/>
          <w:sz w:val="24"/>
          <w:szCs w:val="24"/>
        </w:rPr>
        <w:t>i</w:t>
      </w:r>
      <w:r w:rsidRPr="006A316D">
        <w:rPr>
          <w:rFonts w:ascii="Times New Roman" w:hAnsi="Times New Roman" w:cs="Times New Roman"/>
          <w:sz w:val="24"/>
          <w:szCs w:val="24"/>
        </w:rPr>
        <w:t xml:space="preserve">rensi &lt; 50 </w:t>
      </w:r>
      <w:r w:rsidR="00394228" w:rsidRPr="006A316D">
        <w:rPr>
          <w:rFonts w:ascii="Times New Roman" w:hAnsi="Times New Roman" w:cs="Times New Roman"/>
          <w:sz w:val="24"/>
          <w:szCs w:val="24"/>
        </w:rPr>
        <w:t>m</w:t>
      </w:r>
      <w:r w:rsidR="00460A70" w:rsidRPr="006A316D">
        <w:rPr>
          <w:rFonts w:ascii="Times New Roman" w:hAnsi="Times New Roman" w:cs="Times New Roman"/>
          <w:sz w:val="24"/>
          <w:szCs w:val="24"/>
        </w:rPr>
        <w:t>l</w:t>
      </w:r>
      <w:r w:rsidR="00394228" w:rsidRPr="006A316D">
        <w:rPr>
          <w:rFonts w:ascii="Times New Roman" w:hAnsi="Times New Roman" w:cs="Times New Roman"/>
          <w:sz w:val="24"/>
          <w:szCs w:val="24"/>
        </w:rPr>
        <w:t>/</w:t>
      </w:r>
      <w:r w:rsidRPr="006A316D">
        <w:rPr>
          <w:rFonts w:ascii="Times New Roman" w:hAnsi="Times New Roman" w:cs="Times New Roman"/>
          <w:sz w:val="24"/>
          <w:szCs w:val="24"/>
        </w:rPr>
        <w:t>dak) dozaj böbrek yetmezliği</w:t>
      </w:r>
      <w:r w:rsidR="007578BA" w:rsidRPr="006A316D">
        <w:rPr>
          <w:rFonts w:ascii="Times New Roman" w:hAnsi="Times New Roman" w:cs="Times New Roman"/>
          <w:sz w:val="24"/>
          <w:szCs w:val="24"/>
        </w:rPr>
        <w:t xml:space="preserve"> </w:t>
      </w:r>
      <w:r w:rsidRPr="006A316D">
        <w:rPr>
          <w:rFonts w:ascii="Times New Roman" w:hAnsi="Times New Roman" w:cs="Times New Roman"/>
          <w:sz w:val="24"/>
          <w:szCs w:val="24"/>
        </w:rPr>
        <w:t>bölümünde tarif edildiği gibi ayarlanmalıdır.</w:t>
      </w:r>
    </w:p>
    <w:p w14:paraId="1C7477C2" w14:textId="77777777" w:rsidR="00ED2805" w:rsidRPr="006A316D" w:rsidRDefault="00ED2805" w:rsidP="00ED2805">
      <w:pPr>
        <w:spacing w:after="0" w:line="240" w:lineRule="auto"/>
        <w:jc w:val="both"/>
        <w:rPr>
          <w:rFonts w:ascii="Times New Roman" w:hAnsi="Times New Roman" w:cs="Times New Roman"/>
          <w:sz w:val="24"/>
          <w:szCs w:val="24"/>
        </w:rPr>
      </w:pPr>
    </w:p>
    <w:p w14:paraId="3B23097F" w14:textId="77777777" w:rsidR="00ED2805" w:rsidRPr="006A316D" w:rsidRDefault="00ED2805" w:rsidP="00A3678C">
      <w:pPr>
        <w:spacing w:after="6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4.3. Kontrendikasyonlar</w:t>
      </w:r>
    </w:p>
    <w:p w14:paraId="4A301392" w14:textId="77777777" w:rsidR="00B458FD" w:rsidRPr="006A316D" w:rsidRDefault="00B458FD" w:rsidP="001E74BF">
      <w:pPr>
        <w:spacing w:after="0" w:line="240" w:lineRule="auto"/>
        <w:ind w:left="284"/>
        <w:jc w:val="both"/>
        <w:rPr>
          <w:rFonts w:ascii="Times New Roman" w:hAnsi="Times New Roman" w:cs="Times New Roman"/>
          <w:sz w:val="24"/>
          <w:szCs w:val="24"/>
        </w:rPr>
      </w:pPr>
    </w:p>
    <w:p w14:paraId="6BB8C4F1" w14:textId="77777777" w:rsidR="008D6A90" w:rsidRPr="006A316D" w:rsidRDefault="00ED2805" w:rsidP="00385BC5">
      <w:pPr>
        <w:pStyle w:val="ListeParagraf"/>
        <w:numPr>
          <w:ilvl w:val="0"/>
          <w:numId w:val="5"/>
        </w:numPr>
        <w:spacing w:after="0" w:line="240" w:lineRule="auto"/>
        <w:jc w:val="both"/>
        <w:rPr>
          <w:rFonts w:ascii="Times New Roman" w:hAnsi="Times New Roman" w:cs="Times New Roman"/>
          <w:sz w:val="24"/>
          <w:szCs w:val="24"/>
        </w:rPr>
      </w:pPr>
      <w:r w:rsidRPr="006A316D">
        <w:rPr>
          <w:rFonts w:ascii="Times New Roman" w:hAnsi="Times New Roman" w:cs="Times New Roman"/>
          <w:sz w:val="24"/>
          <w:szCs w:val="24"/>
        </w:rPr>
        <w:t xml:space="preserve">Flukonazol, </w:t>
      </w:r>
      <w:r w:rsidR="006F13AB" w:rsidRPr="006A316D">
        <w:rPr>
          <w:rFonts w:ascii="Times New Roman" w:hAnsi="Times New Roman" w:cs="Times New Roman"/>
          <w:sz w:val="24"/>
          <w:szCs w:val="24"/>
        </w:rPr>
        <w:t>etkin maddeye</w:t>
      </w:r>
      <w:r w:rsidRPr="006A316D">
        <w:rPr>
          <w:rFonts w:ascii="Times New Roman" w:hAnsi="Times New Roman" w:cs="Times New Roman"/>
          <w:sz w:val="24"/>
          <w:szCs w:val="24"/>
        </w:rPr>
        <w:t xml:space="preserve">, </w:t>
      </w:r>
      <w:r w:rsidR="006F13AB" w:rsidRPr="006A316D">
        <w:rPr>
          <w:rFonts w:ascii="Times New Roman" w:hAnsi="Times New Roman" w:cs="Times New Roman"/>
          <w:sz w:val="24"/>
          <w:szCs w:val="24"/>
        </w:rPr>
        <w:t xml:space="preserve">ilacın </w:t>
      </w:r>
      <w:r w:rsidRPr="006A316D">
        <w:rPr>
          <w:rFonts w:ascii="Times New Roman" w:hAnsi="Times New Roman" w:cs="Times New Roman"/>
          <w:sz w:val="24"/>
          <w:szCs w:val="24"/>
        </w:rPr>
        <w:t>bileşenlerinden herhangi birisine</w:t>
      </w:r>
      <w:r w:rsidR="00E763F3" w:rsidRPr="006A316D">
        <w:rPr>
          <w:rFonts w:ascii="Times New Roman" w:hAnsi="Times New Roman" w:cs="Times New Roman"/>
          <w:sz w:val="24"/>
          <w:szCs w:val="24"/>
        </w:rPr>
        <w:t xml:space="preserve"> (</w:t>
      </w:r>
      <w:r w:rsidR="006F13AB" w:rsidRPr="006A316D">
        <w:rPr>
          <w:rFonts w:ascii="Times New Roman" w:hAnsi="Times New Roman" w:cs="Times New Roman"/>
          <w:sz w:val="24"/>
          <w:szCs w:val="24"/>
        </w:rPr>
        <w:t>B</w:t>
      </w:r>
      <w:r w:rsidR="00E763F3" w:rsidRPr="006A316D">
        <w:rPr>
          <w:rFonts w:ascii="Times New Roman" w:hAnsi="Times New Roman" w:cs="Times New Roman"/>
          <w:sz w:val="24"/>
          <w:szCs w:val="24"/>
        </w:rPr>
        <w:t>kz. Bölüm 6.1)</w:t>
      </w:r>
      <w:r w:rsidRPr="006A316D">
        <w:rPr>
          <w:rFonts w:ascii="Times New Roman" w:hAnsi="Times New Roman" w:cs="Times New Roman"/>
          <w:sz w:val="24"/>
          <w:szCs w:val="24"/>
        </w:rPr>
        <w:t xml:space="preserve"> veya benzer azol bileşiklerine</w:t>
      </w:r>
      <w:r w:rsidR="001E74BF" w:rsidRPr="006A316D">
        <w:rPr>
          <w:rFonts w:ascii="Times New Roman" w:hAnsi="Times New Roman" w:cs="Times New Roman"/>
          <w:sz w:val="24"/>
          <w:szCs w:val="24"/>
        </w:rPr>
        <w:t xml:space="preserve"> </w:t>
      </w:r>
      <w:r w:rsidRPr="006A316D">
        <w:rPr>
          <w:rFonts w:ascii="Times New Roman" w:hAnsi="Times New Roman" w:cs="Times New Roman"/>
          <w:sz w:val="24"/>
          <w:szCs w:val="24"/>
        </w:rPr>
        <w:t>hassas olduğu bilinen hastalarda kullanılmamalıdır.</w:t>
      </w:r>
    </w:p>
    <w:p w14:paraId="0B8E74B4" w14:textId="2654C98E" w:rsidR="008D6A90" w:rsidRPr="006A316D" w:rsidRDefault="00ED2805" w:rsidP="008D6A90">
      <w:pPr>
        <w:pStyle w:val="ListeParagraf"/>
        <w:numPr>
          <w:ilvl w:val="0"/>
          <w:numId w:val="5"/>
        </w:numPr>
        <w:spacing w:after="0" w:line="240" w:lineRule="auto"/>
        <w:jc w:val="both"/>
        <w:rPr>
          <w:rFonts w:ascii="Times New Roman" w:hAnsi="Times New Roman" w:cs="Times New Roman"/>
          <w:sz w:val="24"/>
          <w:szCs w:val="24"/>
        </w:rPr>
      </w:pPr>
      <w:r w:rsidRPr="006A316D">
        <w:rPr>
          <w:rFonts w:ascii="Times New Roman" w:hAnsi="Times New Roman" w:cs="Times New Roman"/>
          <w:sz w:val="24"/>
          <w:szCs w:val="24"/>
        </w:rPr>
        <w:lastRenderedPageBreak/>
        <w:t>Multipl doz etkileşim çalışmaları sonuçlarına göre günde 400 mg veya daha yüksek</w:t>
      </w:r>
      <w:r w:rsidR="001E74BF" w:rsidRPr="006A316D">
        <w:rPr>
          <w:rFonts w:ascii="Times New Roman" w:hAnsi="Times New Roman" w:cs="Times New Roman"/>
          <w:sz w:val="24"/>
          <w:szCs w:val="24"/>
        </w:rPr>
        <w:t xml:space="preserve"> </w:t>
      </w:r>
      <w:r w:rsidRPr="006A316D">
        <w:rPr>
          <w:rFonts w:ascii="Times New Roman" w:hAnsi="Times New Roman" w:cs="Times New Roman"/>
          <w:sz w:val="24"/>
          <w:szCs w:val="24"/>
        </w:rPr>
        <w:t>miktarlarda multipl doz flukonazol alan hastalarda flukonazol ile</w:t>
      </w:r>
      <w:r w:rsidR="008D6A90" w:rsidRPr="006A316D">
        <w:rPr>
          <w:rFonts w:ascii="Times New Roman" w:hAnsi="Times New Roman" w:cs="Times New Roman"/>
          <w:sz w:val="24"/>
          <w:szCs w:val="24"/>
        </w:rPr>
        <w:t xml:space="preserve"> </w:t>
      </w:r>
      <w:r w:rsidRPr="006A316D">
        <w:rPr>
          <w:rFonts w:ascii="Times New Roman" w:hAnsi="Times New Roman" w:cs="Times New Roman"/>
          <w:sz w:val="24"/>
          <w:szCs w:val="24"/>
        </w:rPr>
        <w:t>beraber kullanılan terfenadin</w:t>
      </w:r>
      <w:r w:rsidR="001E74BF" w:rsidRPr="006A316D">
        <w:rPr>
          <w:rFonts w:ascii="Times New Roman" w:hAnsi="Times New Roman" w:cs="Times New Roman"/>
          <w:sz w:val="24"/>
          <w:szCs w:val="24"/>
        </w:rPr>
        <w:t xml:space="preserve"> </w:t>
      </w:r>
      <w:r w:rsidRPr="006A316D">
        <w:rPr>
          <w:rFonts w:ascii="Times New Roman" w:hAnsi="Times New Roman" w:cs="Times New Roman"/>
          <w:sz w:val="24"/>
          <w:szCs w:val="24"/>
        </w:rPr>
        <w:t xml:space="preserve">kontrendikedir. </w:t>
      </w:r>
    </w:p>
    <w:p w14:paraId="696A29F7" w14:textId="07D82EF7" w:rsidR="00ED2805" w:rsidRPr="006A316D" w:rsidRDefault="00ED2805" w:rsidP="008D6A90">
      <w:pPr>
        <w:pStyle w:val="ListeParagraf"/>
        <w:numPr>
          <w:ilvl w:val="0"/>
          <w:numId w:val="5"/>
        </w:numPr>
        <w:spacing w:after="0" w:line="240" w:lineRule="auto"/>
        <w:jc w:val="both"/>
        <w:rPr>
          <w:rFonts w:ascii="Times New Roman" w:hAnsi="Times New Roman" w:cs="Times New Roman"/>
          <w:sz w:val="24"/>
          <w:szCs w:val="24"/>
        </w:rPr>
      </w:pPr>
      <w:r w:rsidRPr="006A316D">
        <w:rPr>
          <w:rFonts w:ascii="Times New Roman" w:hAnsi="Times New Roman" w:cs="Times New Roman"/>
          <w:sz w:val="24"/>
          <w:szCs w:val="24"/>
        </w:rPr>
        <w:t xml:space="preserve">QT aralığını uzattığı bilinen ve </w:t>
      </w:r>
      <w:r w:rsidR="00E763F3" w:rsidRPr="006A316D">
        <w:rPr>
          <w:rFonts w:ascii="Times New Roman" w:hAnsi="Times New Roman" w:cs="Times New Roman"/>
          <w:sz w:val="24"/>
          <w:szCs w:val="24"/>
        </w:rPr>
        <w:t xml:space="preserve">sitokrom P450 (CYP)3A4 </w:t>
      </w:r>
      <w:r w:rsidRPr="006A316D">
        <w:rPr>
          <w:rFonts w:ascii="Times New Roman" w:hAnsi="Times New Roman" w:cs="Times New Roman"/>
          <w:sz w:val="24"/>
          <w:szCs w:val="24"/>
        </w:rPr>
        <w:t>enzimi aracılığıyla metabolize edilen</w:t>
      </w:r>
      <w:r w:rsidR="001E74BF" w:rsidRPr="006A316D">
        <w:rPr>
          <w:rFonts w:ascii="Times New Roman" w:hAnsi="Times New Roman" w:cs="Times New Roman"/>
          <w:sz w:val="24"/>
          <w:szCs w:val="24"/>
        </w:rPr>
        <w:t xml:space="preserve"> </w:t>
      </w:r>
      <w:r w:rsidRPr="006A316D">
        <w:rPr>
          <w:rFonts w:ascii="Times New Roman" w:hAnsi="Times New Roman" w:cs="Times New Roman"/>
          <w:sz w:val="24"/>
          <w:szCs w:val="24"/>
        </w:rPr>
        <w:t>sisaprid, astemizol, eritromisin, pimozid ve kinidin gibi diğer ilaçların birlikte uygulanması,</w:t>
      </w:r>
      <w:r w:rsidR="001E74BF" w:rsidRPr="006A316D">
        <w:rPr>
          <w:rFonts w:ascii="Times New Roman" w:hAnsi="Times New Roman" w:cs="Times New Roman"/>
          <w:sz w:val="24"/>
          <w:szCs w:val="24"/>
        </w:rPr>
        <w:t xml:space="preserve"> </w:t>
      </w:r>
      <w:r w:rsidRPr="006A316D">
        <w:rPr>
          <w:rFonts w:ascii="Times New Roman" w:hAnsi="Times New Roman" w:cs="Times New Roman"/>
          <w:sz w:val="24"/>
          <w:szCs w:val="24"/>
        </w:rPr>
        <w:t>flukonazol alan hastalarda kontrendikedir (</w:t>
      </w:r>
      <w:r w:rsidR="006F13AB" w:rsidRPr="006A316D">
        <w:rPr>
          <w:rFonts w:ascii="Times New Roman" w:hAnsi="Times New Roman" w:cs="Times New Roman"/>
          <w:sz w:val="24"/>
          <w:szCs w:val="24"/>
        </w:rPr>
        <w:t>B</w:t>
      </w:r>
      <w:r w:rsidRPr="006A316D">
        <w:rPr>
          <w:rFonts w:ascii="Times New Roman" w:hAnsi="Times New Roman" w:cs="Times New Roman"/>
          <w:sz w:val="24"/>
          <w:szCs w:val="24"/>
        </w:rPr>
        <w:t>kz.</w:t>
      </w:r>
      <w:r w:rsidR="00E763F3" w:rsidRPr="006A316D">
        <w:rPr>
          <w:rFonts w:ascii="Times New Roman" w:hAnsi="Times New Roman" w:cs="Times New Roman"/>
          <w:sz w:val="24"/>
          <w:szCs w:val="24"/>
        </w:rPr>
        <w:t xml:space="preserve"> Bölüm </w:t>
      </w:r>
      <w:r w:rsidRPr="006A316D">
        <w:rPr>
          <w:rFonts w:ascii="Times New Roman" w:hAnsi="Times New Roman" w:cs="Times New Roman"/>
          <w:sz w:val="24"/>
          <w:szCs w:val="24"/>
        </w:rPr>
        <w:t>4.4 ve 4.5).</w:t>
      </w:r>
    </w:p>
    <w:p w14:paraId="28D8D23B" w14:textId="77777777" w:rsidR="00ED2805" w:rsidRPr="006A316D" w:rsidRDefault="00ED2805" w:rsidP="00ED2805">
      <w:pPr>
        <w:spacing w:after="0" w:line="240" w:lineRule="auto"/>
        <w:jc w:val="both"/>
        <w:rPr>
          <w:rFonts w:ascii="Times New Roman" w:hAnsi="Times New Roman" w:cs="Times New Roman"/>
          <w:sz w:val="24"/>
          <w:szCs w:val="24"/>
        </w:rPr>
      </w:pPr>
    </w:p>
    <w:p w14:paraId="2105F1AF" w14:textId="77777777" w:rsidR="00ED2805" w:rsidRPr="006A316D" w:rsidRDefault="00ED2805" w:rsidP="007578BA">
      <w:pPr>
        <w:spacing w:after="6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4.4. Özel kullanım uyarıları ve önlemleri</w:t>
      </w:r>
    </w:p>
    <w:p w14:paraId="7C158EA7" w14:textId="77777777" w:rsidR="00B458FD" w:rsidRPr="006A316D" w:rsidRDefault="00B458FD" w:rsidP="001635DB">
      <w:pPr>
        <w:spacing w:after="0" w:line="240" w:lineRule="auto"/>
        <w:ind w:left="284"/>
        <w:jc w:val="both"/>
        <w:rPr>
          <w:rFonts w:ascii="Times New Roman" w:hAnsi="Times New Roman" w:cs="Times New Roman"/>
          <w:sz w:val="24"/>
          <w:szCs w:val="24"/>
          <w:u w:val="single"/>
        </w:rPr>
      </w:pPr>
    </w:p>
    <w:p w14:paraId="620E92D4" w14:textId="77777777" w:rsidR="001635DB" w:rsidRPr="006A316D" w:rsidRDefault="001635DB" w:rsidP="001635DB">
      <w:pPr>
        <w:spacing w:after="0" w:line="240" w:lineRule="auto"/>
        <w:ind w:left="284"/>
        <w:jc w:val="both"/>
        <w:rPr>
          <w:rFonts w:ascii="Times New Roman" w:hAnsi="Times New Roman" w:cs="Times New Roman"/>
          <w:i/>
          <w:iCs/>
          <w:sz w:val="24"/>
          <w:szCs w:val="24"/>
          <w:u w:val="single"/>
        </w:rPr>
      </w:pPr>
      <w:r w:rsidRPr="006A316D">
        <w:rPr>
          <w:rFonts w:ascii="Times New Roman" w:hAnsi="Times New Roman" w:cs="Times New Roman"/>
          <w:i/>
          <w:iCs/>
          <w:sz w:val="24"/>
          <w:szCs w:val="24"/>
          <w:u w:val="single"/>
        </w:rPr>
        <w:t xml:space="preserve">Tinea kapitis </w:t>
      </w:r>
    </w:p>
    <w:p w14:paraId="6423BA16" w14:textId="77777777" w:rsidR="001635DB" w:rsidRPr="006A316D" w:rsidRDefault="001635DB" w:rsidP="001635DB">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Çocuklarda, </w:t>
      </w:r>
      <w:r w:rsidRPr="006A316D">
        <w:rPr>
          <w:rFonts w:ascii="Times New Roman" w:hAnsi="Times New Roman" w:cs="Times New Roman"/>
          <w:i/>
          <w:iCs/>
          <w:sz w:val="24"/>
          <w:szCs w:val="24"/>
        </w:rPr>
        <w:t>tinea kapitis</w:t>
      </w:r>
      <w:r w:rsidRPr="006A316D">
        <w:rPr>
          <w:rFonts w:ascii="Times New Roman" w:hAnsi="Times New Roman" w:cs="Times New Roman"/>
          <w:sz w:val="24"/>
          <w:szCs w:val="24"/>
        </w:rPr>
        <w:t xml:space="preserve"> tedavisinde flukonazol çalışılmıştır. Flukonazol griseofulvine üstün değildir ve geniş kapsamlı başarı oranı %20’nin altındadır. Bu yüzden, </w:t>
      </w:r>
      <w:r w:rsidRPr="006A316D">
        <w:rPr>
          <w:rFonts w:ascii="Times New Roman" w:hAnsi="Times New Roman" w:cs="Times New Roman"/>
          <w:i/>
          <w:iCs/>
          <w:sz w:val="24"/>
          <w:szCs w:val="24"/>
        </w:rPr>
        <w:t>tinea kapitis</w:t>
      </w:r>
      <w:r w:rsidRPr="006A316D">
        <w:rPr>
          <w:rFonts w:ascii="Times New Roman" w:hAnsi="Times New Roman" w:cs="Times New Roman"/>
          <w:sz w:val="24"/>
          <w:szCs w:val="24"/>
        </w:rPr>
        <w:t xml:space="preserve"> tedavisinde kullanılmamalıdır.</w:t>
      </w:r>
    </w:p>
    <w:p w14:paraId="49A6CD7C" w14:textId="77777777" w:rsidR="001635DB" w:rsidRPr="006A316D" w:rsidRDefault="001635DB" w:rsidP="001635DB">
      <w:pPr>
        <w:spacing w:after="0" w:line="240" w:lineRule="auto"/>
        <w:ind w:left="284"/>
        <w:jc w:val="both"/>
        <w:rPr>
          <w:rFonts w:ascii="Times New Roman" w:hAnsi="Times New Roman" w:cs="Times New Roman"/>
          <w:sz w:val="24"/>
          <w:szCs w:val="24"/>
        </w:rPr>
      </w:pPr>
    </w:p>
    <w:p w14:paraId="1F25F2AE" w14:textId="77777777" w:rsidR="001635DB" w:rsidRPr="006A316D" w:rsidRDefault="001635DB" w:rsidP="001635DB">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 xml:space="preserve">Kriptokokkozis </w:t>
      </w:r>
    </w:p>
    <w:p w14:paraId="0DDBAE84" w14:textId="77777777" w:rsidR="001635DB" w:rsidRPr="006A316D" w:rsidRDefault="001635DB" w:rsidP="001635DB">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Flukonazolün pulmoner kriptokokkozis ve kütanoz kriptokokkozis gibi diğer bölgelerdeki kriptokokkozis tedavisindeki etkililiğine ilişkin kanıtlar yeterli değildir. Bu durum dozlama tavsiyelerine engel olur. </w:t>
      </w:r>
    </w:p>
    <w:p w14:paraId="3FC2C55C" w14:textId="77777777" w:rsidR="001635DB" w:rsidRPr="006A316D" w:rsidRDefault="001635DB" w:rsidP="001635DB">
      <w:pPr>
        <w:spacing w:after="0" w:line="240" w:lineRule="auto"/>
        <w:ind w:left="284"/>
        <w:jc w:val="both"/>
        <w:rPr>
          <w:rFonts w:ascii="Times New Roman" w:hAnsi="Times New Roman" w:cs="Times New Roman"/>
          <w:sz w:val="24"/>
          <w:szCs w:val="24"/>
        </w:rPr>
      </w:pPr>
    </w:p>
    <w:p w14:paraId="2E1A383C" w14:textId="77777777" w:rsidR="001635DB" w:rsidRPr="006A316D" w:rsidRDefault="001635DB" w:rsidP="001635DB">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 xml:space="preserve">Derin endemik mikozlar </w:t>
      </w:r>
    </w:p>
    <w:p w14:paraId="3EEC1928" w14:textId="77777777" w:rsidR="001635DB" w:rsidRPr="006A316D" w:rsidRDefault="001635DB" w:rsidP="001635DB">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Flukonazolün </w:t>
      </w:r>
      <w:r w:rsidRPr="006A316D">
        <w:rPr>
          <w:rFonts w:ascii="Times New Roman" w:hAnsi="Times New Roman" w:cs="Times New Roman"/>
          <w:i/>
          <w:iCs/>
          <w:sz w:val="24"/>
          <w:szCs w:val="24"/>
        </w:rPr>
        <w:t>paracoccidioidomycosis</w:t>
      </w:r>
      <w:r w:rsidRPr="006A316D">
        <w:rPr>
          <w:rFonts w:ascii="Times New Roman" w:hAnsi="Times New Roman" w:cs="Times New Roman"/>
          <w:sz w:val="24"/>
          <w:szCs w:val="24"/>
        </w:rPr>
        <w:t xml:space="preserve">, </w:t>
      </w:r>
      <w:r w:rsidRPr="006A316D">
        <w:rPr>
          <w:rFonts w:ascii="Times New Roman" w:hAnsi="Times New Roman" w:cs="Times New Roman"/>
          <w:i/>
          <w:iCs/>
          <w:sz w:val="24"/>
          <w:szCs w:val="24"/>
        </w:rPr>
        <w:t xml:space="preserve">lymphocutaneous sporotrichosis </w:t>
      </w:r>
      <w:r w:rsidRPr="006A316D">
        <w:rPr>
          <w:rFonts w:ascii="Times New Roman" w:hAnsi="Times New Roman" w:cs="Times New Roman"/>
          <w:sz w:val="24"/>
          <w:szCs w:val="24"/>
        </w:rPr>
        <w:t xml:space="preserve">ve </w:t>
      </w:r>
      <w:r w:rsidRPr="006A316D">
        <w:rPr>
          <w:rFonts w:ascii="Times New Roman" w:hAnsi="Times New Roman" w:cs="Times New Roman"/>
          <w:i/>
          <w:iCs/>
          <w:sz w:val="24"/>
          <w:szCs w:val="24"/>
        </w:rPr>
        <w:t xml:space="preserve">histoplasmosis </w:t>
      </w:r>
      <w:r w:rsidRPr="006A316D">
        <w:rPr>
          <w:rFonts w:ascii="Times New Roman" w:hAnsi="Times New Roman" w:cs="Times New Roman"/>
          <w:sz w:val="24"/>
          <w:szCs w:val="24"/>
        </w:rPr>
        <w:t xml:space="preserve">gibi diğer endemik mikozların tedavisindeki etkililiğine ilişkin kanıtlar yeterli değildir. Bu durum dozlama tavsiyelerine engel olur. </w:t>
      </w:r>
    </w:p>
    <w:p w14:paraId="028DF8B0" w14:textId="77777777" w:rsidR="00881E05" w:rsidRPr="006A316D" w:rsidRDefault="00881E05" w:rsidP="001635DB">
      <w:pPr>
        <w:spacing w:after="0" w:line="240" w:lineRule="auto"/>
        <w:ind w:left="284"/>
        <w:jc w:val="both"/>
        <w:rPr>
          <w:rFonts w:ascii="Times New Roman" w:hAnsi="Times New Roman" w:cs="Times New Roman"/>
          <w:sz w:val="24"/>
          <w:szCs w:val="24"/>
        </w:rPr>
      </w:pPr>
    </w:p>
    <w:p w14:paraId="1B8A33A8" w14:textId="77777777" w:rsidR="001635DB" w:rsidRPr="006A316D" w:rsidRDefault="001635DB" w:rsidP="001635DB">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 xml:space="preserve">Renal sistem </w:t>
      </w:r>
    </w:p>
    <w:p w14:paraId="1FEC84F5" w14:textId="77777777" w:rsidR="001635DB" w:rsidRPr="006A316D" w:rsidRDefault="005461F4" w:rsidP="001635DB">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renal disfonksiyonu olan hastalara dikkatli biçimde uygulanmalıdır (</w:t>
      </w:r>
      <w:r w:rsidR="006F13AB" w:rsidRPr="006A316D">
        <w:rPr>
          <w:rFonts w:ascii="Times New Roman" w:hAnsi="Times New Roman" w:cs="Times New Roman"/>
          <w:sz w:val="24"/>
          <w:szCs w:val="24"/>
        </w:rPr>
        <w:t>B</w:t>
      </w:r>
      <w:r w:rsidRPr="006A316D">
        <w:rPr>
          <w:rFonts w:ascii="Times New Roman" w:hAnsi="Times New Roman" w:cs="Times New Roman"/>
          <w:sz w:val="24"/>
          <w:szCs w:val="24"/>
        </w:rPr>
        <w:t>kz. Bölüm 4.2).</w:t>
      </w:r>
      <w:r w:rsidR="001635DB" w:rsidRPr="006A316D">
        <w:rPr>
          <w:rFonts w:ascii="Times New Roman" w:hAnsi="Times New Roman" w:cs="Times New Roman"/>
          <w:sz w:val="24"/>
          <w:szCs w:val="24"/>
        </w:rPr>
        <w:t xml:space="preserve"> </w:t>
      </w:r>
    </w:p>
    <w:p w14:paraId="4FB57C13" w14:textId="77777777" w:rsidR="001635DB" w:rsidRPr="006A316D" w:rsidRDefault="001635DB" w:rsidP="001635DB">
      <w:pPr>
        <w:spacing w:after="0" w:line="240" w:lineRule="auto"/>
        <w:ind w:left="284"/>
        <w:jc w:val="both"/>
        <w:rPr>
          <w:rFonts w:ascii="Times New Roman" w:hAnsi="Times New Roman" w:cs="Times New Roman"/>
          <w:sz w:val="24"/>
          <w:szCs w:val="24"/>
        </w:rPr>
      </w:pPr>
    </w:p>
    <w:p w14:paraId="0065D347" w14:textId="77777777" w:rsidR="001635DB" w:rsidRPr="006A316D" w:rsidRDefault="001635DB" w:rsidP="001635DB">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 xml:space="preserve">Adrenal yetmezlik </w:t>
      </w:r>
    </w:p>
    <w:p w14:paraId="5D66ED42" w14:textId="77777777" w:rsidR="001635DB" w:rsidRPr="006A316D" w:rsidRDefault="001635DB" w:rsidP="001635DB">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Ketokonazolün adrenal yetmezliğe sebep olduğu bilinmektedir ve bu aynı zamanda seyrek de olsa flukonazol için de geçerlidir. Prednizon ile beraber tedavi alınmasıyla bağlantılı olan adrenal yetmezlik için </w:t>
      </w:r>
      <w:r w:rsidR="006F13AB" w:rsidRPr="006A316D">
        <w:rPr>
          <w:rFonts w:ascii="Times New Roman" w:hAnsi="Times New Roman" w:cs="Times New Roman"/>
          <w:sz w:val="24"/>
          <w:szCs w:val="24"/>
        </w:rPr>
        <w:t>(B</w:t>
      </w:r>
      <w:r w:rsidRPr="006A316D">
        <w:rPr>
          <w:rFonts w:ascii="Times New Roman" w:hAnsi="Times New Roman" w:cs="Times New Roman"/>
          <w:sz w:val="24"/>
          <w:szCs w:val="24"/>
        </w:rPr>
        <w:t>kz. Bölüm 4.5</w:t>
      </w:r>
      <w:r w:rsidR="006F13AB" w:rsidRPr="006A316D">
        <w:rPr>
          <w:rFonts w:ascii="Times New Roman" w:hAnsi="Times New Roman" w:cs="Times New Roman"/>
          <w:sz w:val="24"/>
          <w:szCs w:val="24"/>
        </w:rPr>
        <w:t>)</w:t>
      </w:r>
      <w:r w:rsidRPr="006A316D">
        <w:rPr>
          <w:rFonts w:ascii="Times New Roman" w:hAnsi="Times New Roman" w:cs="Times New Roman"/>
          <w:sz w:val="24"/>
          <w:szCs w:val="24"/>
        </w:rPr>
        <w:t>.</w:t>
      </w:r>
    </w:p>
    <w:p w14:paraId="50A8EC19" w14:textId="77777777" w:rsidR="001635DB" w:rsidRPr="006A316D" w:rsidRDefault="001635DB" w:rsidP="007578BA">
      <w:pPr>
        <w:spacing w:after="0" w:line="240" w:lineRule="auto"/>
        <w:ind w:left="284"/>
        <w:jc w:val="both"/>
        <w:rPr>
          <w:rFonts w:ascii="Times New Roman" w:hAnsi="Times New Roman" w:cs="Times New Roman"/>
          <w:sz w:val="24"/>
          <w:szCs w:val="24"/>
        </w:rPr>
      </w:pPr>
    </w:p>
    <w:p w14:paraId="7B764B41" w14:textId="77777777" w:rsidR="001635DB" w:rsidRPr="006A316D" w:rsidRDefault="001635DB" w:rsidP="007578BA">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Hepatobiliyer sistem</w:t>
      </w:r>
    </w:p>
    <w:p w14:paraId="0431E418" w14:textId="77777777" w:rsidR="00ED2805" w:rsidRPr="006A316D" w:rsidRDefault="00ED2805" w:rsidP="007578B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karaciğer disfonksiyonu olan hastalara dikkatli biçimde uygulanmalıdır.</w:t>
      </w:r>
    </w:p>
    <w:p w14:paraId="09081A5B" w14:textId="77777777" w:rsidR="007578BA" w:rsidRPr="006A316D" w:rsidRDefault="007578BA" w:rsidP="007578BA">
      <w:pPr>
        <w:spacing w:after="0" w:line="240" w:lineRule="auto"/>
        <w:ind w:left="284"/>
        <w:jc w:val="both"/>
        <w:rPr>
          <w:rFonts w:ascii="Times New Roman" w:hAnsi="Times New Roman" w:cs="Times New Roman"/>
          <w:sz w:val="24"/>
          <w:szCs w:val="24"/>
        </w:rPr>
      </w:pPr>
    </w:p>
    <w:p w14:paraId="16E7B9ED" w14:textId="77777777" w:rsidR="009D062C" w:rsidRPr="006A316D" w:rsidRDefault="00A372BC" w:rsidP="007578B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Özellikle</w:t>
      </w:r>
      <w:r w:rsidR="000C1E2C" w:rsidRPr="006A316D">
        <w:rPr>
          <w:rFonts w:ascii="Times New Roman" w:hAnsi="Times New Roman" w:cs="Times New Roman"/>
          <w:sz w:val="24"/>
          <w:szCs w:val="24"/>
        </w:rPr>
        <w:t xml:space="preserve"> </w:t>
      </w:r>
      <w:r w:rsidR="00394228" w:rsidRPr="006A316D">
        <w:rPr>
          <w:rFonts w:ascii="Times New Roman" w:hAnsi="Times New Roman" w:cs="Times New Roman"/>
          <w:sz w:val="24"/>
          <w:szCs w:val="24"/>
        </w:rPr>
        <w:t xml:space="preserve">altta yatan ciddi tıbbi durumları </w:t>
      </w:r>
      <w:r w:rsidR="00FA07AE" w:rsidRPr="006A316D">
        <w:rPr>
          <w:rFonts w:ascii="Times New Roman" w:hAnsi="Times New Roman" w:cs="Times New Roman"/>
          <w:sz w:val="24"/>
          <w:szCs w:val="24"/>
        </w:rPr>
        <w:t xml:space="preserve">olan hastalarda </w:t>
      </w:r>
      <w:r w:rsidR="009D062C" w:rsidRPr="006A316D">
        <w:rPr>
          <w:rFonts w:ascii="Times New Roman" w:hAnsi="Times New Roman" w:cs="Times New Roman"/>
          <w:sz w:val="24"/>
          <w:szCs w:val="24"/>
        </w:rPr>
        <w:t xml:space="preserve">flukonazol kullanımı nadiren ölüm dahil ciddi hepatik toksisite ile ilişkilendirilmiştir. </w:t>
      </w:r>
      <w:r w:rsidR="00FA07AE" w:rsidRPr="006A316D">
        <w:rPr>
          <w:rFonts w:ascii="Times New Roman" w:hAnsi="Times New Roman" w:cs="Times New Roman"/>
          <w:sz w:val="24"/>
          <w:szCs w:val="24"/>
        </w:rPr>
        <w:t xml:space="preserve">Flukonazole bağlı hepatotoksisite durumlarında; hastanın yaşı ya da cinsiyetiyle, tedavinin süresiyle ve toplam günlük dozla açık bir ilişki gözlenmemiştir. </w:t>
      </w:r>
      <w:r w:rsidR="00ED2805" w:rsidRPr="006A316D">
        <w:rPr>
          <w:rFonts w:ascii="Times New Roman" w:hAnsi="Times New Roman" w:cs="Times New Roman"/>
          <w:sz w:val="24"/>
          <w:szCs w:val="24"/>
        </w:rPr>
        <w:t>Flukonazol</w:t>
      </w:r>
      <w:r w:rsidR="007578BA" w:rsidRPr="006A316D">
        <w:rPr>
          <w:rFonts w:ascii="Times New Roman" w:hAnsi="Times New Roman" w:cs="Times New Roman"/>
          <w:sz w:val="24"/>
          <w:szCs w:val="24"/>
        </w:rPr>
        <w:t xml:space="preserve"> </w:t>
      </w:r>
      <w:r w:rsidR="00ED2805" w:rsidRPr="006A316D">
        <w:rPr>
          <w:rFonts w:ascii="Times New Roman" w:hAnsi="Times New Roman" w:cs="Times New Roman"/>
          <w:sz w:val="24"/>
          <w:szCs w:val="24"/>
        </w:rPr>
        <w:t xml:space="preserve">hepatotoksisitesi, genellikle tedavinin kesilmesiyle </w:t>
      </w:r>
      <w:r w:rsidR="009D062C" w:rsidRPr="006A316D">
        <w:rPr>
          <w:rFonts w:ascii="Times New Roman" w:hAnsi="Times New Roman" w:cs="Times New Roman"/>
          <w:sz w:val="24"/>
          <w:szCs w:val="24"/>
        </w:rPr>
        <w:t xml:space="preserve">geri dönüşlü </w:t>
      </w:r>
      <w:r w:rsidR="00ED2805" w:rsidRPr="006A316D">
        <w:rPr>
          <w:rFonts w:ascii="Times New Roman" w:hAnsi="Times New Roman" w:cs="Times New Roman"/>
          <w:sz w:val="24"/>
          <w:szCs w:val="24"/>
        </w:rPr>
        <w:t xml:space="preserve">olmuştur. </w:t>
      </w:r>
    </w:p>
    <w:p w14:paraId="52D47AA9" w14:textId="77777777" w:rsidR="009D062C" w:rsidRPr="006A316D" w:rsidRDefault="009D062C" w:rsidP="007578BA">
      <w:pPr>
        <w:spacing w:after="0" w:line="240" w:lineRule="auto"/>
        <w:ind w:left="284"/>
        <w:jc w:val="both"/>
        <w:rPr>
          <w:rFonts w:ascii="Times New Roman" w:hAnsi="Times New Roman" w:cs="Times New Roman"/>
          <w:sz w:val="24"/>
          <w:szCs w:val="24"/>
        </w:rPr>
      </w:pPr>
    </w:p>
    <w:p w14:paraId="3C727CC3" w14:textId="77777777" w:rsidR="00ED2805" w:rsidRPr="006A316D" w:rsidRDefault="00ED2805" w:rsidP="007578BA">
      <w:pPr>
        <w:spacing w:after="0" w:line="240" w:lineRule="auto"/>
        <w:ind w:left="284"/>
        <w:jc w:val="both"/>
        <w:rPr>
          <w:rFonts w:ascii="Times New Roman" w:hAnsi="Times New Roman" w:cs="Times New Roman"/>
          <w:strike/>
          <w:sz w:val="24"/>
          <w:szCs w:val="24"/>
        </w:rPr>
      </w:pPr>
      <w:r w:rsidRPr="006A316D">
        <w:rPr>
          <w:rFonts w:ascii="Times New Roman" w:hAnsi="Times New Roman" w:cs="Times New Roman"/>
          <w:sz w:val="24"/>
          <w:szCs w:val="24"/>
        </w:rPr>
        <w:t>Flukonazol tedavisi</w:t>
      </w:r>
      <w:r w:rsidR="007578BA" w:rsidRPr="006A316D">
        <w:rPr>
          <w:rFonts w:ascii="Times New Roman" w:hAnsi="Times New Roman" w:cs="Times New Roman"/>
          <w:sz w:val="24"/>
          <w:szCs w:val="24"/>
        </w:rPr>
        <w:t xml:space="preserve"> </w:t>
      </w:r>
      <w:r w:rsidRPr="006A316D">
        <w:rPr>
          <w:rFonts w:ascii="Times New Roman" w:hAnsi="Times New Roman" w:cs="Times New Roman"/>
          <w:sz w:val="24"/>
          <w:szCs w:val="24"/>
        </w:rPr>
        <w:t>boyunca anormal karaciğer fonksiyon testleri saptanan hastalar, daha ciddi hepatik hasar</w:t>
      </w:r>
      <w:r w:rsidR="007578BA" w:rsidRPr="006A316D">
        <w:rPr>
          <w:rFonts w:ascii="Times New Roman" w:hAnsi="Times New Roman" w:cs="Times New Roman"/>
          <w:sz w:val="24"/>
          <w:szCs w:val="24"/>
        </w:rPr>
        <w:t xml:space="preserve"> </w:t>
      </w:r>
      <w:r w:rsidRPr="006A316D">
        <w:rPr>
          <w:rFonts w:ascii="Times New Roman" w:hAnsi="Times New Roman" w:cs="Times New Roman"/>
          <w:sz w:val="24"/>
          <w:szCs w:val="24"/>
        </w:rPr>
        <w:t>gelişme riskine karşı</w:t>
      </w:r>
      <w:r w:rsidR="00FA07AE" w:rsidRPr="006A316D">
        <w:rPr>
          <w:rFonts w:ascii="Times New Roman" w:hAnsi="Times New Roman" w:cs="Times New Roman"/>
          <w:sz w:val="24"/>
          <w:szCs w:val="24"/>
        </w:rPr>
        <w:t>n</w:t>
      </w:r>
      <w:r w:rsidRPr="006A316D">
        <w:rPr>
          <w:rFonts w:ascii="Times New Roman" w:hAnsi="Times New Roman" w:cs="Times New Roman"/>
          <w:sz w:val="24"/>
          <w:szCs w:val="24"/>
        </w:rPr>
        <w:t xml:space="preserve"> takip edilmelidir. </w:t>
      </w:r>
    </w:p>
    <w:p w14:paraId="0F2916BD" w14:textId="77777777" w:rsidR="00B458FD" w:rsidRPr="006A316D" w:rsidRDefault="00B458FD" w:rsidP="009D062C">
      <w:pPr>
        <w:spacing w:after="0" w:line="240" w:lineRule="auto"/>
        <w:ind w:left="284"/>
        <w:jc w:val="both"/>
        <w:rPr>
          <w:rFonts w:ascii="Times New Roman" w:hAnsi="Times New Roman" w:cs="Times New Roman"/>
          <w:sz w:val="24"/>
          <w:szCs w:val="24"/>
        </w:rPr>
      </w:pPr>
    </w:p>
    <w:p w14:paraId="365A1898" w14:textId="77777777" w:rsidR="009D062C" w:rsidRPr="006A316D" w:rsidRDefault="009D062C" w:rsidP="009D062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Ciddi hepatik etkilere karşı (ciddi asteni, anoreksi, sürekli bulantı, kusma, sarılık) hastalar bilgilendirilmelidir. Flukonazole bağlı olabilecek karaciğer hastalığı ile uyumlu klinik bulgu ya da semptomlar gelişirse flukonazol hemen kesilmeli ve bir doktora danışılmalıdır. </w:t>
      </w:r>
    </w:p>
    <w:p w14:paraId="0E01798F" w14:textId="77777777" w:rsidR="002604DD" w:rsidRPr="006A316D" w:rsidRDefault="002604DD" w:rsidP="002604DD">
      <w:pPr>
        <w:spacing w:after="0" w:line="240" w:lineRule="auto"/>
        <w:jc w:val="both"/>
        <w:rPr>
          <w:rFonts w:ascii="Times New Roman" w:hAnsi="Times New Roman" w:cs="Times New Roman"/>
          <w:sz w:val="24"/>
          <w:szCs w:val="24"/>
        </w:rPr>
      </w:pPr>
    </w:p>
    <w:p w14:paraId="4A652FA3" w14:textId="224830A3" w:rsidR="009D062C" w:rsidRPr="006A316D" w:rsidRDefault="002604DD" w:rsidP="002604DD">
      <w:pPr>
        <w:spacing w:after="0" w:line="240" w:lineRule="auto"/>
        <w:jc w:val="both"/>
        <w:rPr>
          <w:rFonts w:ascii="Times New Roman" w:hAnsi="Times New Roman" w:cs="Times New Roman"/>
          <w:sz w:val="24"/>
          <w:szCs w:val="24"/>
          <w:u w:val="single"/>
        </w:rPr>
      </w:pPr>
      <w:r w:rsidRPr="006A316D">
        <w:rPr>
          <w:rFonts w:ascii="Times New Roman" w:hAnsi="Times New Roman" w:cs="Times New Roman"/>
          <w:sz w:val="24"/>
          <w:szCs w:val="24"/>
        </w:rPr>
        <w:lastRenderedPageBreak/>
        <w:t xml:space="preserve">     </w:t>
      </w:r>
      <w:r w:rsidR="009D062C" w:rsidRPr="006A316D">
        <w:rPr>
          <w:rFonts w:ascii="Times New Roman" w:hAnsi="Times New Roman" w:cs="Times New Roman"/>
          <w:sz w:val="24"/>
          <w:szCs w:val="24"/>
          <w:u w:val="single"/>
        </w:rPr>
        <w:t xml:space="preserve">Kardiyovasküler sistem </w:t>
      </w:r>
    </w:p>
    <w:p w14:paraId="26E17002" w14:textId="77777777" w:rsidR="005461F4" w:rsidRPr="006A316D" w:rsidRDefault="005461F4" w:rsidP="005461F4">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dahil bazı azoller, elektrokardiyografide QT aralığının uzaması ile ilişkilendirilmiştir. Flukonazol, rektifiye edici potasyum kanalının akımını (I</w:t>
      </w:r>
      <w:r w:rsidRPr="006A316D">
        <w:rPr>
          <w:rFonts w:ascii="Times New Roman" w:hAnsi="Times New Roman" w:cs="Times New Roman"/>
          <w:sz w:val="24"/>
          <w:szCs w:val="24"/>
          <w:vertAlign w:val="subscript"/>
        </w:rPr>
        <w:t>kr</w:t>
      </w:r>
      <w:r w:rsidRPr="006A316D">
        <w:rPr>
          <w:rFonts w:ascii="Times New Roman" w:hAnsi="Times New Roman" w:cs="Times New Roman"/>
          <w:sz w:val="24"/>
          <w:szCs w:val="24"/>
        </w:rPr>
        <w:t xml:space="preserve">) önleme yoluyla QT aralığının uzamasına sebep olur. Diğer tıbbi ürünlerin (amiodaron gibi) neden olduğu QT aralığının uzaması, sitokrom P450 (CYP) 3A4’ün inhibisyonu yoluyla arttırılabilir. Pazarlama sonrası gözlem sırasında, flukonazol alan hastalarda çok nadir olarak QT aralığının uzaması ve </w:t>
      </w:r>
      <w:r w:rsidRPr="006A316D">
        <w:rPr>
          <w:rFonts w:ascii="Times New Roman" w:hAnsi="Times New Roman" w:cs="Times New Roman"/>
          <w:i/>
          <w:iCs/>
          <w:sz w:val="24"/>
          <w:szCs w:val="24"/>
        </w:rPr>
        <w:t>torsade</w:t>
      </w:r>
      <w:r w:rsidR="00FA07AE" w:rsidRPr="006A316D">
        <w:rPr>
          <w:rFonts w:ascii="Times New Roman" w:hAnsi="Times New Roman" w:cs="Times New Roman"/>
          <w:i/>
          <w:iCs/>
          <w:sz w:val="24"/>
          <w:szCs w:val="24"/>
        </w:rPr>
        <w:t>s</w:t>
      </w:r>
      <w:r w:rsidRPr="006A316D">
        <w:rPr>
          <w:rFonts w:ascii="Times New Roman" w:hAnsi="Times New Roman" w:cs="Times New Roman"/>
          <w:i/>
          <w:iCs/>
          <w:sz w:val="24"/>
          <w:szCs w:val="24"/>
        </w:rPr>
        <w:t xml:space="preserve"> de pointe</w:t>
      </w:r>
      <w:r w:rsidRPr="006A316D">
        <w:rPr>
          <w:rFonts w:ascii="Times New Roman" w:hAnsi="Times New Roman" w:cs="Times New Roman"/>
          <w:sz w:val="24"/>
          <w:szCs w:val="24"/>
        </w:rPr>
        <w:t>s vakaları görülmüştür</w:t>
      </w:r>
      <w:r w:rsidR="00FA07AE" w:rsidRPr="006A316D">
        <w:rPr>
          <w:rFonts w:ascii="Times New Roman" w:hAnsi="Times New Roman" w:cs="Times New Roman"/>
          <w:sz w:val="24"/>
          <w:szCs w:val="24"/>
        </w:rPr>
        <w:t>.</w:t>
      </w:r>
      <w:r w:rsidR="00311BC0" w:rsidRPr="006A316D">
        <w:rPr>
          <w:rFonts w:ascii="Times New Roman" w:hAnsi="Times New Roman" w:cs="Times New Roman"/>
          <w:sz w:val="24"/>
          <w:szCs w:val="24"/>
        </w:rPr>
        <w:t xml:space="preserve"> </w:t>
      </w:r>
      <w:r w:rsidR="00FA07AE" w:rsidRPr="006A316D">
        <w:rPr>
          <w:rFonts w:ascii="Times New Roman" w:hAnsi="Times New Roman" w:cs="Times New Roman"/>
          <w:sz w:val="24"/>
          <w:szCs w:val="24"/>
        </w:rPr>
        <w:t xml:space="preserve">Bunlar yapısal kalp hastalığı, elektrolit bozuklukları ve birlikte ilaç kullanımı gibi duruma katkısı olabilecek risk faktörleri taşıyan ciddi hastalıkları olan </w:t>
      </w:r>
      <w:r w:rsidRPr="006A316D">
        <w:rPr>
          <w:rFonts w:ascii="Times New Roman" w:hAnsi="Times New Roman" w:cs="Times New Roman"/>
          <w:sz w:val="24"/>
          <w:szCs w:val="24"/>
        </w:rPr>
        <w:t>vakalardır.</w:t>
      </w:r>
      <w:r w:rsidR="00A118A3" w:rsidRPr="006A316D">
        <w:rPr>
          <w:rFonts w:ascii="Times New Roman" w:hAnsi="Times New Roman" w:cs="Times New Roman"/>
          <w:sz w:val="24"/>
          <w:szCs w:val="24"/>
        </w:rPr>
        <w:t xml:space="preserve"> Hipokalemisi ve ileri derecede kardiyak yetmezliği olan hastalar hayatı tehdit edici ventriküler aritmi ve </w:t>
      </w:r>
      <w:r w:rsidR="00A118A3" w:rsidRPr="006A316D">
        <w:rPr>
          <w:rFonts w:ascii="Times New Roman" w:hAnsi="Times New Roman" w:cs="Times New Roman"/>
          <w:i/>
          <w:iCs/>
          <w:sz w:val="24"/>
          <w:szCs w:val="24"/>
        </w:rPr>
        <w:t xml:space="preserve">torsades de pointes </w:t>
      </w:r>
      <w:r w:rsidR="00A118A3" w:rsidRPr="006A316D">
        <w:rPr>
          <w:rFonts w:ascii="Times New Roman" w:hAnsi="Times New Roman" w:cs="Times New Roman"/>
          <w:sz w:val="24"/>
          <w:szCs w:val="24"/>
        </w:rPr>
        <w:t xml:space="preserve">geçirme konusunda yüksek risk altındadır. </w:t>
      </w:r>
    </w:p>
    <w:p w14:paraId="3192D6DE" w14:textId="77777777" w:rsidR="00311BC0" w:rsidRPr="006A316D" w:rsidRDefault="00311BC0" w:rsidP="005461F4">
      <w:pPr>
        <w:spacing w:after="0" w:line="240" w:lineRule="auto"/>
        <w:ind w:left="284"/>
        <w:jc w:val="both"/>
        <w:rPr>
          <w:rFonts w:ascii="Times New Roman" w:hAnsi="Times New Roman" w:cs="Times New Roman"/>
          <w:sz w:val="24"/>
          <w:szCs w:val="24"/>
        </w:rPr>
      </w:pPr>
    </w:p>
    <w:p w14:paraId="6949C9D4" w14:textId="77777777" w:rsidR="005461F4" w:rsidRPr="006A316D" w:rsidRDefault="005461F4" w:rsidP="005461F4">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w:t>
      </w:r>
      <w:r w:rsidR="00311BC0" w:rsidRPr="006A316D">
        <w:rPr>
          <w:rFonts w:ascii="Times New Roman" w:hAnsi="Times New Roman" w:cs="Times New Roman"/>
          <w:sz w:val="24"/>
          <w:szCs w:val="24"/>
        </w:rPr>
        <w:t>,</w:t>
      </w:r>
      <w:r w:rsidRPr="006A316D">
        <w:rPr>
          <w:rFonts w:ascii="Times New Roman" w:hAnsi="Times New Roman" w:cs="Times New Roman"/>
          <w:sz w:val="24"/>
          <w:szCs w:val="24"/>
        </w:rPr>
        <w:t xml:space="preserve"> proaritmik durum</w:t>
      </w:r>
      <w:r w:rsidR="00311BC0" w:rsidRPr="006A316D">
        <w:rPr>
          <w:rFonts w:ascii="Times New Roman" w:hAnsi="Times New Roman" w:cs="Times New Roman"/>
          <w:sz w:val="24"/>
          <w:szCs w:val="24"/>
        </w:rPr>
        <w:t>u</w:t>
      </w:r>
      <w:r w:rsidRPr="006A316D">
        <w:rPr>
          <w:rFonts w:ascii="Times New Roman" w:hAnsi="Times New Roman" w:cs="Times New Roman"/>
          <w:sz w:val="24"/>
          <w:szCs w:val="24"/>
        </w:rPr>
        <w:t xml:space="preserve"> olan hastalara dikkatl</w:t>
      </w:r>
      <w:r w:rsidR="00311BC0" w:rsidRPr="006A316D">
        <w:rPr>
          <w:rFonts w:ascii="Times New Roman" w:hAnsi="Times New Roman" w:cs="Times New Roman"/>
          <w:sz w:val="24"/>
          <w:szCs w:val="24"/>
        </w:rPr>
        <w:t>e</w:t>
      </w:r>
      <w:r w:rsidRPr="006A316D">
        <w:rPr>
          <w:rFonts w:ascii="Times New Roman" w:hAnsi="Times New Roman" w:cs="Times New Roman"/>
          <w:sz w:val="24"/>
          <w:szCs w:val="24"/>
        </w:rPr>
        <w:t xml:space="preserve"> </w:t>
      </w:r>
      <w:r w:rsidR="00311BC0" w:rsidRPr="006A316D">
        <w:rPr>
          <w:rFonts w:ascii="Times New Roman" w:hAnsi="Times New Roman" w:cs="Times New Roman"/>
          <w:sz w:val="24"/>
          <w:szCs w:val="24"/>
        </w:rPr>
        <w:t>uygulanmalıdır</w:t>
      </w:r>
      <w:r w:rsidR="00FA07AE" w:rsidRPr="006A316D">
        <w:rPr>
          <w:rFonts w:ascii="Times New Roman" w:hAnsi="Times New Roman" w:cs="Times New Roman"/>
          <w:sz w:val="24"/>
          <w:szCs w:val="24"/>
        </w:rPr>
        <w:t>:</w:t>
      </w:r>
    </w:p>
    <w:p w14:paraId="4ED0B949" w14:textId="77777777" w:rsidR="00881E05" w:rsidRPr="006A316D" w:rsidRDefault="00881E05" w:rsidP="005461F4">
      <w:pPr>
        <w:spacing w:after="0" w:line="240" w:lineRule="auto"/>
        <w:ind w:left="284"/>
        <w:jc w:val="both"/>
        <w:rPr>
          <w:rFonts w:ascii="Times New Roman" w:hAnsi="Times New Roman" w:cs="Times New Roman"/>
          <w:sz w:val="24"/>
          <w:szCs w:val="24"/>
        </w:rPr>
      </w:pPr>
    </w:p>
    <w:p w14:paraId="3860F53E" w14:textId="77777777" w:rsidR="00881E05" w:rsidRPr="006A316D" w:rsidRDefault="00881E05" w:rsidP="005461F4">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QT aralığını uzattığı bilinen ve sitokrom P450 (CYP) 3A4 ile metabolize olan ilaçlarla birlikte kullanımı kontrendikedir (</w:t>
      </w:r>
      <w:r w:rsidR="00311BC0" w:rsidRPr="006A316D">
        <w:rPr>
          <w:rFonts w:ascii="Times New Roman" w:hAnsi="Times New Roman" w:cs="Times New Roman"/>
          <w:sz w:val="24"/>
          <w:szCs w:val="24"/>
        </w:rPr>
        <w:t>B</w:t>
      </w:r>
      <w:r w:rsidRPr="006A316D">
        <w:rPr>
          <w:rFonts w:ascii="Times New Roman" w:hAnsi="Times New Roman" w:cs="Times New Roman"/>
          <w:sz w:val="24"/>
          <w:szCs w:val="24"/>
        </w:rPr>
        <w:t>kz. Bölüm 4.3 ve 4.5).</w:t>
      </w:r>
    </w:p>
    <w:p w14:paraId="7AAD2F8D" w14:textId="77777777" w:rsidR="007578BA" w:rsidRPr="006A316D" w:rsidRDefault="007578BA" w:rsidP="007578BA">
      <w:pPr>
        <w:spacing w:after="0" w:line="240" w:lineRule="auto"/>
        <w:ind w:left="284"/>
        <w:jc w:val="both"/>
        <w:rPr>
          <w:rFonts w:ascii="Times New Roman" w:hAnsi="Times New Roman" w:cs="Times New Roman"/>
          <w:sz w:val="24"/>
          <w:szCs w:val="24"/>
        </w:rPr>
      </w:pPr>
    </w:p>
    <w:p w14:paraId="610620DE" w14:textId="77777777" w:rsidR="009D062C" w:rsidRPr="006A316D" w:rsidRDefault="009D062C" w:rsidP="009D062C">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 xml:space="preserve">Halofantrin </w:t>
      </w:r>
    </w:p>
    <w:p w14:paraId="4327CD2C" w14:textId="77777777" w:rsidR="009D062C" w:rsidRPr="006A316D" w:rsidRDefault="009D062C" w:rsidP="009D062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Halofantrinin tavsiye edilen terapötik dozlarda QTc aralığını uzattığı gösterilmiştir ve halofantrin CYP3A4 substratıdır. Bu yüzden flukonazol ile birlikte kullanımı tavsiye edilmez (</w:t>
      </w:r>
      <w:r w:rsidR="00311BC0" w:rsidRPr="006A316D">
        <w:rPr>
          <w:rFonts w:ascii="Times New Roman" w:hAnsi="Times New Roman" w:cs="Times New Roman"/>
          <w:sz w:val="24"/>
          <w:szCs w:val="24"/>
        </w:rPr>
        <w:t>B</w:t>
      </w:r>
      <w:r w:rsidRPr="006A316D">
        <w:rPr>
          <w:rFonts w:ascii="Times New Roman" w:hAnsi="Times New Roman" w:cs="Times New Roman"/>
          <w:sz w:val="24"/>
          <w:szCs w:val="24"/>
        </w:rPr>
        <w:t>kz. Bölüm 4.5).</w:t>
      </w:r>
    </w:p>
    <w:p w14:paraId="68F6F9BB" w14:textId="77777777" w:rsidR="009D062C" w:rsidRPr="006A316D" w:rsidRDefault="009D062C" w:rsidP="009D062C">
      <w:pPr>
        <w:spacing w:after="0" w:line="240" w:lineRule="auto"/>
        <w:ind w:left="284"/>
        <w:jc w:val="both"/>
        <w:rPr>
          <w:rFonts w:ascii="Times New Roman" w:hAnsi="Times New Roman" w:cs="Times New Roman"/>
          <w:sz w:val="24"/>
          <w:szCs w:val="24"/>
        </w:rPr>
      </w:pPr>
    </w:p>
    <w:p w14:paraId="65D77896" w14:textId="77777777" w:rsidR="009D062C" w:rsidRPr="006A316D" w:rsidRDefault="009D062C" w:rsidP="009D062C">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Dermatolojik reaksiyonlar</w:t>
      </w:r>
    </w:p>
    <w:p w14:paraId="163A03C9" w14:textId="77777777" w:rsidR="00ED2805" w:rsidRPr="006A316D" w:rsidRDefault="00ED2805" w:rsidP="007578B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ile tedavi sırasında hastalarda nadiren toksik epidermal nekroliz ve Stevens-</w:t>
      </w:r>
      <w:r w:rsidR="007578BA" w:rsidRPr="006A316D">
        <w:rPr>
          <w:rFonts w:ascii="Times New Roman" w:hAnsi="Times New Roman" w:cs="Times New Roman"/>
          <w:sz w:val="24"/>
          <w:szCs w:val="24"/>
        </w:rPr>
        <w:t xml:space="preserve"> </w:t>
      </w:r>
      <w:r w:rsidRPr="006A316D">
        <w:rPr>
          <w:rFonts w:ascii="Times New Roman" w:hAnsi="Times New Roman" w:cs="Times New Roman"/>
          <w:sz w:val="24"/>
          <w:szCs w:val="24"/>
        </w:rPr>
        <w:t xml:space="preserve">Johnson </w:t>
      </w:r>
      <w:r w:rsidR="00460A70" w:rsidRPr="006A316D">
        <w:rPr>
          <w:rFonts w:ascii="Times New Roman" w:hAnsi="Times New Roman" w:cs="Times New Roman"/>
          <w:sz w:val="24"/>
          <w:szCs w:val="24"/>
        </w:rPr>
        <w:t>S</w:t>
      </w:r>
      <w:r w:rsidRPr="006A316D">
        <w:rPr>
          <w:rFonts w:ascii="Times New Roman" w:hAnsi="Times New Roman" w:cs="Times New Roman"/>
          <w:sz w:val="24"/>
          <w:szCs w:val="24"/>
        </w:rPr>
        <w:t xml:space="preserve">endromu gibi döküntülü deri reaksiyonları gelişmiştir. </w:t>
      </w:r>
      <w:r w:rsidR="004857B4" w:rsidRPr="006A316D">
        <w:rPr>
          <w:rFonts w:ascii="Times New Roman" w:hAnsi="Times New Roman" w:cs="Times New Roman"/>
          <w:sz w:val="24"/>
          <w:szCs w:val="24"/>
        </w:rPr>
        <w:t>A</w:t>
      </w:r>
      <w:r w:rsidR="00FA07AE" w:rsidRPr="006A316D">
        <w:rPr>
          <w:rFonts w:ascii="Times New Roman" w:hAnsi="Times New Roman" w:cs="Times New Roman"/>
          <w:sz w:val="24"/>
          <w:szCs w:val="24"/>
        </w:rPr>
        <w:t>İ</w:t>
      </w:r>
      <w:r w:rsidR="004857B4" w:rsidRPr="006A316D">
        <w:rPr>
          <w:rFonts w:ascii="Times New Roman" w:hAnsi="Times New Roman" w:cs="Times New Roman"/>
          <w:sz w:val="24"/>
          <w:szCs w:val="24"/>
        </w:rPr>
        <w:t>DS</w:t>
      </w:r>
      <w:r w:rsidRPr="006A316D">
        <w:rPr>
          <w:rFonts w:ascii="Times New Roman" w:hAnsi="Times New Roman" w:cs="Times New Roman"/>
          <w:sz w:val="24"/>
          <w:szCs w:val="24"/>
        </w:rPr>
        <w:t xml:space="preserve"> hastalar</w:t>
      </w:r>
      <w:r w:rsidR="00EB3ED8" w:rsidRPr="006A316D">
        <w:rPr>
          <w:rFonts w:ascii="Times New Roman" w:hAnsi="Times New Roman" w:cs="Times New Roman"/>
          <w:sz w:val="24"/>
          <w:szCs w:val="24"/>
        </w:rPr>
        <w:t>ın</w:t>
      </w:r>
      <w:r w:rsidRPr="006A316D">
        <w:rPr>
          <w:rFonts w:ascii="Times New Roman" w:hAnsi="Times New Roman" w:cs="Times New Roman"/>
          <w:sz w:val="24"/>
          <w:szCs w:val="24"/>
        </w:rPr>
        <w:t>da pek çok</w:t>
      </w:r>
      <w:r w:rsidR="007578BA" w:rsidRPr="006A316D">
        <w:rPr>
          <w:rFonts w:ascii="Times New Roman" w:hAnsi="Times New Roman" w:cs="Times New Roman"/>
          <w:sz w:val="24"/>
          <w:szCs w:val="24"/>
        </w:rPr>
        <w:t xml:space="preserve"> </w:t>
      </w:r>
      <w:r w:rsidRPr="006A316D">
        <w:rPr>
          <w:rFonts w:ascii="Times New Roman" w:hAnsi="Times New Roman" w:cs="Times New Roman"/>
          <w:sz w:val="24"/>
          <w:szCs w:val="24"/>
        </w:rPr>
        <w:t>ilaca karşı şiddetli deri reaksiyonları gö</w:t>
      </w:r>
      <w:r w:rsidR="00EB3ED8" w:rsidRPr="006A316D">
        <w:rPr>
          <w:rFonts w:ascii="Times New Roman" w:hAnsi="Times New Roman" w:cs="Times New Roman"/>
          <w:sz w:val="24"/>
          <w:szCs w:val="24"/>
        </w:rPr>
        <w:t>ster</w:t>
      </w:r>
      <w:r w:rsidRPr="006A316D">
        <w:rPr>
          <w:rFonts w:ascii="Times New Roman" w:hAnsi="Times New Roman" w:cs="Times New Roman"/>
          <w:sz w:val="24"/>
          <w:szCs w:val="24"/>
        </w:rPr>
        <w:t>me eğilimi daha yüksektir. Yüzeysel fungal</w:t>
      </w:r>
      <w:r w:rsidR="007578BA" w:rsidRPr="006A316D">
        <w:rPr>
          <w:rFonts w:ascii="Times New Roman" w:hAnsi="Times New Roman" w:cs="Times New Roman"/>
          <w:sz w:val="24"/>
          <w:szCs w:val="24"/>
        </w:rPr>
        <w:t xml:space="preserve"> </w:t>
      </w:r>
      <w:r w:rsidRPr="006A316D">
        <w:rPr>
          <w:rFonts w:ascii="Times New Roman" w:hAnsi="Times New Roman" w:cs="Times New Roman"/>
          <w:sz w:val="24"/>
          <w:szCs w:val="24"/>
        </w:rPr>
        <w:t>enfeksiyon için tedavi edilen bir hastada flukonazole bağlı olabileceği düşünülen bir deri</w:t>
      </w:r>
      <w:r w:rsidR="007578BA" w:rsidRPr="006A316D">
        <w:rPr>
          <w:rFonts w:ascii="Times New Roman" w:hAnsi="Times New Roman" w:cs="Times New Roman"/>
          <w:sz w:val="24"/>
          <w:szCs w:val="24"/>
        </w:rPr>
        <w:t xml:space="preserve"> </w:t>
      </w:r>
      <w:r w:rsidRPr="006A316D">
        <w:rPr>
          <w:rFonts w:ascii="Times New Roman" w:hAnsi="Times New Roman" w:cs="Times New Roman"/>
          <w:sz w:val="24"/>
          <w:szCs w:val="24"/>
        </w:rPr>
        <w:t xml:space="preserve">döküntüsü </w:t>
      </w:r>
      <w:r w:rsidR="00EB3ED8" w:rsidRPr="006A316D">
        <w:rPr>
          <w:rFonts w:ascii="Times New Roman" w:hAnsi="Times New Roman" w:cs="Times New Roman"/>
          <w:sz w:val="24"/>
          <w:szCs w:val="24"/>
        </w:rPr>
        <w:t>görülürse</w:t>
      </w:r>
      <w:r w:rsidRPr="006A316D">
        <w:rPr>
          <w:rFonts w:ascii="Times New Roman" w:hAnsi="Times New Roman" w:cs="Times New Roman"/>
          <w:sz w:val="24"/>
          <w:szCs w:val="24"/>
        </w:rPr>
        <w:t>, bu ajanla tedavi kesilmelidir. İnvaziv/sistemik fungal enfeksiyonu olan</w:t>
      </w:r>
      <w:r w:rsidR="007578BA" w:rsidRPr="006A316D">
        <w:rPr>
          <w:rFonts w:ascii="Times New Roman" w:hAnsi="Times New Roman" w:cs="Times New Roman"/>
          <w:sz w:val="24"/>
          <w:szCs w:val="24"/>
        </w:rPr>
        <w:t xml:space="preserve"> </w:t>
      </w:r>
      <w:r w:rsidRPr="006A316D">
        <w:rPr>
          <w:rFonts w:ascii="Times New Roman" w:hAnsi="Times New Roman" w:cs="Times New Roman"/>
          <w:sz w:val="24"/>
          <w:szCs w:val="24"/>
        </w:rPr>
        <w:t>hastalarda deri döküntüsü oluşursa, bunlar yakından takip edilmeli ve büllöz lezyonlar veya</w:t>
      </w:r>
      <w:r w:rsidR="007578BA" w:rsidRPr="006A316D">
        <w:rPr>
          <w:rFonts w:ascii="Times New Roman" w:hAnsi="Times New Roman" w:cs="Times New Roman"/>
          <w:sz w:val="24"/>
          <w:szCs w:val="24"/>
        </w:rPr>
        <w:t xml:space="preserve"> </w:t>
      </w:r>
      <w:r w:rsidRPr="006A316D">
        <w:rPr>
          <w:rFonts w:ascii="Times New Roman" w:hAnsi="Times New Roman" w:cs="Times New Roman"/>
          <w:sz w:val="24"/>
          <w:szCs w:val="24"/>
        </w:rPr>
        <w:t>eritema multiforme gelişecek olursa flukonazol kesilmelidir.</w:t>
      </w:r>
    </w:p>
    <w:p w14:paraId="4AB00212" w14:textId="77777777" w:rsidR="007578BA" w:rsidRPr="006A316D" w:rsidRDefault="007578BA" w:rsidP="007578BA">
      <w:pPr>
        <w:spacing w:after="0" w:line="240" w:lineRule="auto"/>
        <w:ind w:left="284"/>
        <w:jc w:val="both"/>
        <w:rPr>
          <w:rFonts w:ascii="Times New Roman" w:hAnsi="Times New Roman" w:cs="Times New Roman"/>
          <w:sz w:val="24"/>
          <w:szCs w:val="24"/>
        </w:rPr>
      </w:pPr>
    </w:p>
    <w:p w14:paraId="5D4C5463" w14:textId="77777777" w:rsidR="00EB3ED8" w:rsidRPr="006A316D" w:rsidRDefault="00EB3ED8" w:rsidP="007578BA">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Hipersensitivite</w:t>
      </w:r>
    </w:p>
    <w:p w14:paraId="544E50BA" w14:textId="77777777" w:rsidR="00ED2805" w:rsidRPr="006A316D" w:rsidRDefault="00ED2805" w:rsidP="007578B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Ender vakalarda, diğer azollerde görüldüğü gibi anaflaksi bildirilmiştir</w:t>
      </w:r>
      <w:r w:rsidR="00174D01" w:rsidRPr="006A316D">
        <w:rPr>
          <w:rFonts w:ascii="Times New Roman" w:hAnsi="Times New Roman" w:cs="Times New Roman"/>
          <w:sz w:val="24"/>
          <w:szCs w:val="24"/>
        </w:rPr>
        <w:t xml:space="preserve"> (</w:t>
      </w:r>
      <w:r w:rsidR="00311BC0" w:rsidRPr="006A316D">
        <w:rPr>
          <w:rFonts w:ascii="Times New Roman" w:hAnsi="Times New Roman" w:cs="Times New Roman"/>
          <w:sz w:val="24"/>
          <w:szCs w:val="24"/>
        </w:rPr>
        <w:t>B</w:t>
      </w:r>
      <w:r w:rsidR="00174D01" w:rsidRPr="006A316D">
        <w:rPr>
          <w:rFonts w:ascii="Times New Roman" w:hAnsi="Times New Roman" w:cs="Times New Roman"/>
          <w:sz w:val="24"/>
          <w:szCs w:val="24"/>
        </w:rPr>
        <w:t>kz Bölüm 4.3)</w:t>
      </w:r>
      <w:r w:rsidRPr="006A316D">
        <w:rPr>
          <w:rFonts w:ascii="Times New Roman" w:hAnsi="Times New Roman" w:cs="Times New Roman"/>
          <w:sz w:val="24"/>
          <w:szCs w:val="24"/>
        </w:rPr>
        <w:t>.</w:t>
      </w:r>
    </w:p>
    <w:p w14:paraId="5B7BC596" w14:textId="77777777" w:rsidR="00174D01" w:rsidRPr="006A316D" w:rsidRDefault="00174D01" w:rsidP="007578BA">
      <w:pPr>
        <w:spacing w:after="0" w:line="240" w:lineRule="auto"/>
        <w:ind w:left="284"/>
        <w:jc w:val="both"/>
        <w:rPr>
          <w:rFonts w:ascii="Times New Roman" w:hAnsi="Times New Roman" w:cs="Times New Roman"/>
          <w:sz w:val="24"/>
          <w:szCs w:val="24"/>
        </w:rPr>
      </w:pPr>
    </w:p>
    <w:p w14:paraId="3657F96A" w14:textId="77777777" w:rsidR="00174D01" w:rsidRPr="006A316D" w:rsidRDefault="00174D01" w:rsidP="00174D01">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 xml:space="preserve">Sitokrom P450 </w:t>
      </w:r>
    </w:p>
    <w:p w14:paraId="68081CE4" w14:textId="77777777" w:rsidR="007578BA" w:rsidRPr="006A316D" w:rsidRDefault="00174D01" w:rsidP="00174D01">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orta dereceli CYP2C9 ve CYP3A4 inhibitörüdür. Flukonazol ayrıca güçlü bir CYP2C19 inhibitörüdür. Flukonazolle ve CYP2C9</w:t>
      </w:r>
      <w:r w:rsidR="005461F4" w:rsidRPr="006A316D">
        <w:rPr>
          <w:rFonts w:ascii="Times New Roman" w:hAnsi="Times New Roman" w:cs="Times New Roman"/>
          <w:sz w:val="24"/>
          <w:szCs w:val="24"/>
        </w:rPr>
        <w:t>,</w:t>
      </w:r>
      <w:r w:rsidRPr="006A316D">
        <w:rPr>
          <w:rFonts w:ascii="Times New Roman" w:hAnsi="Times New Roman" w:cs="Times New Roman"/>
          <w:sz w:val="24"/>
          <w:szCs w:val="24"/>
        </w:rPr>
        <w:t xml:space="preserve"> CYP3A4</w:t>
      </w:r>
      <w:r w:rsidR="005461F4" w:rsidRPr="006A316D">
        <w:rPr>
          <w:rFonts w:ascii="Times New Roman" w:hAnsi="Times New Roman" w:cs="Times New Roman"/>
          <w:sz w:val="24"/>
          <w:szCs w:val="24"/>
        </w:rPr>
        <w:t xml:space="preserve">, CYP2C19 </w:t>
      </w:r>
      <w:r w:rsidRPr="006A316D">
        <w:rPr>
          <w:rFonts w:ascii="Times New Roman" w:hAnsi="Times New Roman" w:cs="Times New Roman"/>
          <w:sz w:val="24"/>
          <w:szCs w:val="24"/>
        </w:rPr>
        <w:t>aracılığıyla metabolize edilen dar terapötik penceresi olan ilaçlarla eş</w:t>
      </w:r>
      <w:r w:rsidR="00552D4C" w:rsidRPr="006A316D">
        <w:rPr>
          <w:rFonts w:ascii="Times New Roman" w:hAnsi="Times New Roman" w:cs="Times New Roman"/>
          <w:sz w:val="24"/>
          <w:szCs w:val="24"/>
        </w:rPr>
        <w:t xml:space="preserve"> </w:t>
      </w:r>
      <w:r w:rsidRPr="006A316D">
        <w:rPr>
          <w:rFonts w:ascii="Times New Roman" w:hAnsi="Times New Roman" w:cs="Times New Roman"/>
          <w:sz w:val="24"/>
          <w:szCs w:val="24"/>
        </w:rPr>
        <w:t>zamanlı olarak tedavi edilen hastalar izlenmelidir (</w:t>
      </w:r>
      <w:r w:rsidR="00311BC0" w:rsidRPr="006A316D">
        <w:rPr>
          <w:rFonts w:ascii="Times New Roman" w:hAnsi="Times New Roman" w:cs="Times New Roman"/>
          <w:sz w:val="24"/>
          <w:szCs w:val="24"/>
        </w:rPr>
        <w:t>B</w:t>
      </w:r>
      <w:r w:rsidRPr="006A316D">
        <w:rPr>
          <w:rFonts w:ascii="Times New Roman" w:hAnsi="Times New Roman" w:cs="Times New Roman"/>
          <w:sz w:val="24"/>
          <w:szCs w:val="24"/>
        </w:rPr>
        <w:t>kz. Bölüm 4.5)</w:t>
      </w:r>
    </w:p>
    <w:p w14:paraId="1A493850" w14:textId="77777777" w:rsidR="00174D01" w:rsidRPr="006A316D" w:rsidRDefault="00174D01" w:rsidP="00174D01">
      <w:pPr>
        <w:spacing w:after="0" w:line="240" w:lineRule="auto"/>
        <w:ind w:left="284"/>
        <w:jc w:val="both"/>
        <w:rPr>
          <w:rFonts w:ascii="Times New Roman" w:hAnsi="Times New Roman" w:cs="Times New Roman"/>
          <w:sz w:val="24"/>
          <w:szCs w:val="24"/>
        </w:rPr>
      </w:pPr>
    </w:p>
    <w:p w14:paraId="0602149B" w14:textId="77777777" w:rsidR="00174D01" w:rsidRPr="006A316D" w:rsidRDefault="00174D01" w:rsidP="00174D01">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Terfenadin</w:t>
      </w:r>
    </w:p>
    <w:p w14:paraId="18DD32FC" w14:textId="4574F22D" w:rsidR="00174D01" w:rsidRPr="006A316D" w:rsidRDefault="00174D01" w:rsidP="00174D01">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Günde 400 mg’dan az flukonazol dozları ile beraber</w:t>
      </w:r>
      <w:r w:rsidR="00F22692" w:rsidRPr="006A316D">
        <w:rPr>
          <w:rFonts w:ascii="Times New Roman" w:hAnsi="Times New Roman" w:cs="Times New Roman"/>
          <w:sz w:val="24"/>
          <w:szCs w:val="24"/>
        </w:rPr>
        <w:t xml:space="preserve"> </w:t>
      </w:r>
      <w:r w:rsidRPr="006A316D">
        <w:rPr>
          <w:rFonts w:ascii="Times New Roman" w:hAnsi="Times New Roman" w:cs="Times New Roman"/>
          <w:sz w:val="24"/>
          <w:szCs w:val="24"/>
        </w:rPr>
        <w:t>terfenadin kullanılan hastalar dikkatlice izlenmelidir (</w:t>
      </w:r>
      <w:r w:rsidR="00311BC0" w:rsidRPr="006A316D">
        <w:rPr>
          <w:rFonts w:ascii="Times New Roman" w:hAnsi="Times New Roman" w:cs="Times New Roman"/>
          <w:sz w:val="24"/>
          <w:szCs w:val="24"/>
        </w:rPr>
        <w:t>B</w:t>
      </w:r>
      <w:r w:rsidRPr="006A316D">
        <w:rPr>
          <w:rFonts w:ascii="Times New Roman" w:hAnsi="Times New Roman" w:cs="Times New Roman"/>
          <w:sz w:val="24"/>
          <w:szCs w:val="24"/>
        </w:rPr>
        <w:t xml:space="preserve">kz. </w:t>
      </w:r>
      <w:r w:rsidR="00552D4C" w:rsidRPr="006A316D">
        <w:rPr>
          <w:rFonts w:ascii="Times New Roman" w:hAnsi="Times New Roman" w:cs="Times New Roman"/>
          <w:sz w:val="24"/>
          <w:szCs w:val="24"/>
        </w:rPr>
        <w:t>B</w:t>
      </w:r>
      <w:r w:rsidRPr="006A316D">
        <w:rPr>
          <w:rFonts w:ascii="Times New Roman" w:hAnsi="Times New Roman" w:cs="Times New Roman"/>
          <w:sz w:val="24"/>
          <w:szCs w:val="24"/>
        </w:rPr>
        <w:t>ölüm 4.3 ve 4.5).</w:t>
      </w:r>
    </w:p>
    <w:p w14:paraId="78F9BB9E" w14:textId="77777777" w:rsidR="00174D01" w:rsidRPr="006A316D" w:rsidRDefault="00174D01" w:rsidP="00174D01">
      <w:pPr>
        <w:spacing w:after="0" w:line="240" w:lineRule="auto"/>
        <w:ind w:left="284"/>
        <w:jc w:val="both"/>
        <w:rPr>
          <w:rFonts w:ascii="Times New Roman" w:hAnsi="Times New Roman" w:cs="Times New Roman"/>
          <w:sz w:val="24"/>
          <w:szCs w:val="24"/>
        </w:rPr>
      </w:pPr>
    </w:p>
    <w:p w14:paraId="1F9FA6F1" w14:textId="77777777" w:rsidR="00881E05" w:rsidRPr="006A316D" w:rsidRDefault="00881E05" w:rsidP="00174D01">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Yardımcı maddeler</w:t>
      </w:r>
    </w:p>
    <w:p w14:paraId="4AD43FD8" w14:textId="77777777" w:rsidR="00ED2805" w:rsidRPr="006A316D" w:rsidRDefault="00ED2805" w:rsidP="007578B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Bu tıbbi ürün laktoz ihtiva eder. Nadir kalıtımsal galaktoz intoleransı, Lapp laktoz yetmezliği</w:t>
      </w:r>
      <w:r w:rsidR="007578BA" w:rsidRPr="006A316D">
        <w:rPr>
          <w:rFonts w:ascii="Times New Roman" w:hAnsi="Times New Roman" w:cs="Times New Roman"/>
          <w:sz w:val="24"/>
          <w:szCs w:val="24"/>
        </w:rPr>
        <w:t xml:space="preserve"> </w:t>
      </w:r>
      <w:r w:rsidRPr="006A316D">
        <w:rPr>
          <w:rFonts w:ascii="Times New Roman" w:hAnsi="Times New Roman" w:cs="Times New Roman"/>
          <w:sz w:val="24"/>
          <w:szCs w:val="24"/>
        </w:rPr>
        <w:t>ya da glikoz-galaktoz malabsorpsiyon problemi olan hastaların bu ilacı kullanmamaları</w:t>
      </w:r>
      <w:r w:rsidR="007578BA" w:rsidRPr="006A316D">
        <w:rPr>
          <w:rFonts w:ascii="Times New Roman" w:hAnsi="Times New Roman" w:cs="Times New Roman"/>
          <w:sz w:val="24"/>
          <w:szCs w:val="24"/>
        </w:rPr>
        <w:t xml:space="preserve"> </w:t>
      </w:r>
      <w:r w:rsidRPr="006A316D">
        <w:rPr>
          <w:rFonts w:ascii="Times New Roman" w:hAnsi="Times New Roman" w:cs="Times New Roman"/>
          <w:sz w:val="24"/>
          <w:szCs w:val="24"/>
        </w:rPr>
        <w:t>gerekir.</w:t>
      </w:r>
    </w:p>
    <w:p w14:paraId="26FB407B" w14:textId="467EAEF6" w:rsidR="00ED2805" w:rsidRPr="006A316D" w:rsidRDefault="00ED2805" w:rsidP="00ED2805">
      <w:pPr>
        <w:spacing w:after="0" w:line="240" w:lineRule="auto"/>
        <w:jc w:val="both"/>
        <w:rPr>
          <w:rFonts w:ascii="Times New Roman" w:hAnsi="Times New Roman" w:cs="Times New Roman"/>
          <w:sz w:val="24"/>
          <w:szCs w:val="24"/>
        </w:rPr>
      </w:pPr>
    </w:p>
    <w:p w14:paraId="050AF3BB" w14:textId="77777777" w:rsidR="002604DD" w:rsidRPr="006A316D" w:rsidRDefault="002604DD" w:rsidP="00ED2805">
      <w:pPr>
        <w:spacing w:after="0" w:line="240" w:lineRule="auto"/>
        <w:jc w:val="both"/>
        <w:rPr>
          <w:rFonts w:ascii="Times New Roman" w:hAnsi="Times New Roman" w:cs="Times New Roman"/>
          <w:sz w:val="24"/>
          <w:szCs w:val="24"/>
        </w:rPr>
      </w:pPr>
    </w:p>
    <w:p w14:paraId="0FE5878D" w14:textId="77777777" w:rsidR="00ED2805" w:rsidRPr="006A316D" w:rsidRDefault="00ED2805" w:rsidP="00AC237F">
      <w:pPr>
        <w:spacing w:after="60" w:line="240" w:lineRule="auto"/>
        <w:jc w:val="both"/>
        <w:rPr>
          <w:rFonts w:ascii="Times New Roman" w:hAnsi="Times New Roman" w:cs="Times New Roman"/>
          <w:strike/>
          <w:sz w:val="24"/>
          <w:szCs w:val="24"/>
        </w:rPr>
      </w:pPr>
      <w:r w:rsidRPr="006A316D">
        <w:rPr>
          <w:rFonts w:ascii="Times New Roman" w:hAnsi="Times New Roman" w:cs="Times New Roman"/>
          <w:b/>
          <w:bCs/>
          <w:sz w:val="24"/>
          <w:szCs w:val="24"/>
        </w:rPr>
        <w:lastRenderedPageBreak/>
        <w:t>4.5. Diğer tıbbi ürünler ile etkileşimler ve diğer etkileşim şekilleri</w:t>
      </w:r>
    </w:p>
    <w:p w14:paraId="738DF008" w14:textId="77777777" w:rsidR="00ED2805" w:rsidRPr="006A316D" w:rsidRDefault="00ED2805" w:rsidP="00A3678C">
      <w:pPr>
        <w:spacing w:after="0" w:line="240" w:lineRule="auto"/>
        <w:ind w:left="284"/>
        <w:jc w:val="both"/>
        <w:rPr>
          <w:rFonts w:ascii="Times New Roman" w:hAnsi="Times New Roman" w:cs="Times New Roman"/>
          <w:sz w:val="24"/>
          <w:szCs w:val="24"/>
        </w:rPr>
      </w:pPr>
    </w:p>
    <w:p w14:paraId="273E4B82" w14:textId="77777777" w:rsidR="00ED2805" w:rsidRPr="006A316D" w:rsidRDefault="00ED2805" w:rsidP="00A3678C">
      <w:pPr>
        <w:spacing w:after="0" w:line="240" w:lineRule="auto"/>
        <w:ind w:left="284"/>
        <w:jc w:val="both"/>
        <w:rPr>
          <w:rFonts w:ascii="Times New Roman" w:hAnsi="Times New Roman" w:cs="Times New Roman"/>
          <w:i/>
          <w:iCs/>
          <w:sz w:val="24"/>
          <w:szCs w:val="24"/>
          <w:u w:val="single"/>
        </w:rPr>
      </w:pPr>
      <w:r w:rsidRPr="006A316D">
        <w:rPr>
          <w:rFonts w:ascii="Times New Roman" w:hAnsi="Times New Roman" w:cs="Times New Roman"/>
          <w:i/>
          <w:iCs/>
          <w:sz w:val="24"/>
          <w:szCs w:val="24"/>
          <w:u w:val="single"/>
        </w:rPr>
        <w:t>Aşağıdaki diğer tıbbi ürünler ile kullanımı kontrendikedir:</w:t>
      </w:r>
    </w:p>
    <w:p w14:paraId="1BE38395" w14:textId="77777777" w:rsidR="007578BA" w:rsidRPr="006A316D" w:rsidRDefault="007578BA" w:rsidP="00A3678C">
      <w:pPr>
        <w:spacing w:after="0" w:line="240" w:lineRule="auto"/>
        <w:ind w:left="284"/>
        <w:jc w:val="both"/>
        <w:rPr>
          <w:rFonts w:ascii="Times New Roman" w:hAnsi="Times New Roman" w:cs="Times New Roman"/>
          <w:sz w:val="24"/>
          <w:szCs w:val="24"/>
        </w:rPr>
      </w:pPr>
    </w:p>
    <w:p w14:paraId="023BBE4E" w14:textId="77777777" w:rsidR="00ED2805" w:rsidRPr="006A316D" w:rsidRDefault="00ED2805" w:rsidP="00A3678C">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Sisaprid:</w:t>
      </w:r>
    </w:p>
    <w:p w14:paraId="49005B46" w14:textId="77777777" w:rsidR="00ED2805" w:rsidRPr="006A316D" w:rsidRDefault="00ED2805" w:rsidP="00A3678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Flukonazol ile birlikte sisaprid uygulanan hastalarda </w:t>
      </w:r>
      <w:r w:rsidRPr="006A316D">
        <w:rPr>
          <w:rFonts w:ascii="Times New Roman" w:hAnsi="Times New Roman" w:cs="Times New Roman"/>
          <w:i/>
          <w:iCs/>
          <w:sz w:val="24"/>
          <w:szCs w:val="24"/>
        </w:rPr>
        <w:t>torsade</w:t>
      </w:r>
      <w:r w:rsidR="00552D4C" w:rsidRPr="006A316D">
        <w:rPr>
          <w:rFonts w:ascii="Times New Roman" w:hAnsi="Times New Roman" w:cs="Times New Roman"/>
          <w:i/>
          <w:iCs/>
          <w:sz w:val="24"/>
          <w:szCs w:val="24"/>
        </w:rPr>
        <w:t>s</w:t>
      </w:r>
      <w:r w:rsidRPr="006A316D">
        <w:rPr>
          <w:rFonts w:ascii="Times New Roman" w:hAnsi="Times New Roman" w:cs="Times New Roman"/>
          <w:i/>
          <w:iCs/>
          <w:sz w:val="24"/>
          <w:szCs w:val="24"/>
        </w:rPr>
        <w:t xml:space="preserve"> de pointes</w:t>
      </w:r>
      <w:r w:rsidRPr="006A316D">
        <w:rPr>
          <w:rFonts w:ascii="Times New Roman" w:hAnsi="Times New Roman" w:cs="Times New Roman"/>
          <w:sz w:val="24"/>
          <w:szCs w:val="24"/>
        </w:rPr>
        <w:t xml:space="preserve"> de dahil olmak üzere</w:t>
      </w:r>
      <w:r w:rsidR="007578BA" w:rsidRPr="006A316D">
        <w:rPr>
          <w:rFonts w:ascii="Times New Roman" w:hAnsi="Times New Roman" w:cs="Times New Roman"/>
          <w:sz w:val="24"/>
          <w:szCs w:val="24"/>
        </w:rPr>
        <w:t xml:space="preserve"> </w:t>
      </w:r>
      <w:r w:rsidRPr="006A316D">
        <w:rPr>
          <w:rFonts w:ascii="Times New Roman" w:hAnsi="Times New Roman" w:cs="Times New Roman"/>
          <w:sz w:val="24"/>
          <w:szCs w:val="24"/>
        </w:rPr>
        <w:t>bazı kardiyak olaylar bildirilmiştir. Kontrollü bir çalışmada, günde bir kez 200 mg flukonazol</w:t>
      </w:r>
      <w:r w:rsidR="007578BA" w:rsidRPr="006A316D">
        <w:rPr>
          <w:rFonts w:ascii="Times New Roman" w:hAnsi="Times New Roman" w:cs="Times New Roman"/>
          <w:sz w:val="24"/>
          <w:szCs w:val="24"/>
        </w:rPr>
        <w:t xml:space="preserve"> </w:t>
      </w:r>
      <w:r w:rsidRPr="006A316D">
        <w:rPr>
          <w:rFonts w:ascii="Times New Roman" w:hAnsi="Times New Roman" w:cs="Times New Roman"/>
          <w:sz w:val="24"/>
          <w:szCs w:val="24"/>
        </w:rPr>
        <w:t>ve günde dört kez 20 mg sisapridin birlikte uygulanmasının, sisaprid plazma düzeylerinde</w:t>
      </w:r>
      <w:r w:rsidR="007578BA" w:rsidRPr="006A316D">
        <w:rPr>
          <w:rFonts w:ascii="Times New Roman" w:hAnsi="Times New Roman" w:cs="Times New Roman"/>
          <w:sz w:val="24"/>
          <w:szCs w:val="24"/>
        </w:rPr>
        <w:t xml:space="preserve"> </w:t>
      </w:r>
      <w:r w:rsidRPr="006A316D">
        <w:rPr>
          <w:rFonts w:ascii="Times New Roman" w:hAnsi="Times New Roman" w:cs="Times New Roman"/>
          <w:sz w:val="24"/>
          <w:szCs w:val="24"/>
        </w:rPr>
        <w:t>artışa ve QT</w:t>
      </w:r>
      <w:r w:rsidR="00881E05" w:rsidRPr="006A316D">
        <w:rPr>
          <w:rFonts w:ascii="Times New Roman" w:hAnsi="Times New Roman" w:cs="Times New Roman"/>
          <w:sz w:val="24"/>
          <w:szCs w:val="24"/>
        </w:rPr>
        <w:t>c</w:t>
      </w:r>
      <w:r w:rsidRPr="006A316D">
        <w:rPr>
          <w:rFonts w:ascii="Times New Roman" w:hAnsi="Times New Roman" w:cs="Times New Roman"/>
          <w:sz w:val="24"/>
          <w:szCs w:val="24"/>
        </w:rPr>
        <w:t xml:space="preserve"> aralığının uzamasına neden olduğu gösterilmiştir</w:t>
      </w:r>
      <w:r w:rsidR="00AC237F" w:rsidRPr="006A316D">
        <w:rPr>
          <w:rFonts w:ascii="Times New Roman" w:hAnsi="Times New Roman" w:cs="Times New Roman"/>
          <w:sz w:val="24"/>
          <w:szCs w:val="24"/>
        </w:rPr>
        <w:t>.</w:t>
      </w:r>
      <w:r w:rsidRPr="006A316D">
        <w:rPr>
          <w:rFonts w:ascii="Times New Roman" w:hAnsi="Times New Roman" w:cs="Times New Roman"/>
          <w:sz w:val="24"/>
          <w:szCs w:val="24"/>
        </w:rPr>
        <w:t xml:space="preserve"> </w:t>
      </w:r>
      <w:r w:rsidR="00881E05" w:rsidRPr="006A316D">
        <w:rPr>
          <w:rFonts w:ascii="Times New Roman" w:hAnsi="Times New Roman" w:cs="Times New Roman"/>
          <w:sz w:val="24"/>
          <w:szCs w:val="24"/>
        </w:rPr>
        <w:t xml:space="preserve">Flukonazol </w:t>
      </w:r>
      <w:r w:rsidR="00460A70" w:rsidRPr="006A316D">
        <w:rPr>
          <w:rFonts w:ascii="Times New Roman" w:hAnsi="Times New Roman" w:cs="Times New Roman"/>
          <w:sz w:val="24"/>
          <w:szCs w:val="24"/>
        </w:rPr>
        <w:t>alan hastalarda,</w:t>
      </w:r>
      <w:r w:rsidR="00881E05" w:rsidRPr="006A316D">
        <w:rPr>
          <w:rFonts w:ascii="Times New Roman" w:hAnsi="Times New Roman" w:cs="Times New Roman"/>
          <w:sz w:val="24"/>
          <w:szCs w:val="24"/>
        </w:rPr>
        <w:t xml:space="preserve"> sisaprid</w:t>
      </w:r>
      <w:r w:rsidR="00460A70" w:rsidRPr="006A316D">
        <w:rPr>
          <w:rFonts w:ascii="Times New Roman" w:hAnsi="Times New Roman" w:cs="Times New Roman"/>
          <w:sz w:val="24"/>
          <w:szCs w:val="24"/>
        </w:rPr>
        <w:t xml:space="preserve"> ile </w:t>
      </w:r>
      <w:r w:rsidR="00881E05" w:rsidRPr="006A316D">
        <w:rPr>
          <w:rFonts w:ascii="Times New Roman" w:hAnsi="Times New Roman" w:cs="Times New Roman"/>
          <w:sz w:val="24"/>
          <w:szCs w:val="24"/>
        </w:rPr>
        <w:t xml:space="preserve">birlikte </w:t>
      </w:r>
      <w:r w:rsidR="00460A70" w:rsidRPr="006A316D">
        <w:rPr>
          <w:rFonts w:ascii="Times New Roman" w:hAnsi="Times New Roman" w:cs="Times New Roman"/>
          <w:sz w:val="24"/>
          <w:szCs w:val="24"/>
        </w:rPr>
        <w:t>tedavi</w:t>
      </w:r>
      <w:r w:rsidR="00881E05" w:rsidRPr="006A316D">
        <w:rPr>
          <w:rFonts w:ascii="Times New Roman" w:hAnsi="Times New Roman" w:cs="Times New Roman"/>
          <w:sz w:val="24"/>
          <w:szCs w:val="24"/>
        </w:rPr>
        <w:t xml:space="preserve"> </w:t>
      </w:r>
      <w:r w:rsidRPr="006A316D">
        <w:rPr>
          <w:rFonts w:ascii="Times New Roman" w:hAnsi="Times New Roman" w:cs="Times New Roman"/>
          <w:sz w:val="24"/>
          <w:szCs w:val="24"/>
        </w:rPr>
        <w:t>kontrendikedir (</w:t>
      </w:r>
      <w:r w:rsidR="00E0744A" w:rsidRPr="006A316D">
        <w:rPr>
          <w:rFonts w:ascii="Times New Roman" w:hAnsi="Times New Roman" w:cs="Times New Roman"/>
          <w:sz w:val="24"/>
          <w:szCs w:val="24"/>
        </w:rPr>
        <w:t>B</w:t>
      </w:r>
      <w:r w:rsidRPr="006A316D">
        <w:rPr>
          <w:rFonts w:ascii="Times New Roman" w:hAnsi="Times New Roman" w:cs="Times New Roman"/>
          <w:sz w:val="24"/>
          <w:szCs w:val="24"/>
        </w:rPr>
        <w:t>kz</w:t>
      </w:r>
      <w:r w:rsidR="00881E05" w:rsidRPr="006A316D">
        <w:rPr>
          <w:rFonts w:ascii="Times New Roman" w:hAnsi="Times New Roman" w:cs="Times New Roman"/>
          <w:sz w:val="24"/>
          <w:szCs w:val="24"/>
        </w:rPr>
        <w:t>.</w:t>
      </w:r>
      <w:r w:rsidRPr="006A316D">
        <w:rPr>
          <w:rFonts w:ascii="Times New Roman" w:hAnsi="Times New Roman" w:cs="Times New Roman"/>
          <w:sz w:val="24"/>
          <w:szCs w:val="24"/>
        </w:rPr>
        <w:t xml:space="preserve"> </w:t>
      </w:r>
      <w:r w:rsidR="00881E05" w:rsidRPr="006A316D">
        <w:rPr>
          <w:rFonts w:ascii="Times New Roman" w:hAnsi="Times New Roman" w:cs="Times New Roman"/>
          <w:sz w:val="24"/>
          <w:szCs w:val="24"/>
        </w:rPr>
        <w:t xml:space="preserve">Bölüm </w:t>
      </w:r>
      <w:r w:rsidRPr="006A316D">
        <w:rPr>
          <w:rFonts w:ascii="Times New Roman" w:hAnsi="Times New Roman" w:cs="Times New Roman"/>
          <w:sz w:val="24"/>
          <w:szCs w:val="24"/>
        </w:rPr>
        <w:t>4.</w:t>
      </w:r>
      <w:r w:rsidR="00881E05" w:rsidRPr="006A316D">
        <w:rPr>
          <w:rFonts w:ascii="Times New Roman" w:hAnsi="Times New Roman" w:cs="Times New Roman"/>
          <w:sz w:val="24"/>
          <w:szCs w:val="24"/>
        </w:rPr>
        <w:t>3</w:t>
      </w:r>
      <w:r w:rsidRPr="006A316D">
        <w:rPr>
          <w:rFonts w:ascii="Times New Roman" w:hAnsi="Times New Roman" w:cs="Times New Roman"/>
          <w:sz w:val="24"/>
          <w:szCs w:val="24"/>
        </w:rPr>
        <w:t>).</w:t>
      </w:r>
    </w:p>
    <w:p w14:paraId="2DBA7B54" w14:textId="77777777" w:rsidR="00ED2805" w:rsidRPr="006A316D" w:rsidRDefault="00ED2805" w:rsidP="00A3678C">
      <w:pPr>
        <w:spacing w:after="0" w:line="240" w:lineRule="auto"/>
        <w:ind w:left="284"/>
        <w:jc w:val="both"/>
        <w:rPr>
          <w:rFonts w:ascii="Times New Roman" w:hAnsi="Times New Roman" w:cs="Times New Roman"/>
          <w:sz w:val="24"/>
          <w:szCs w:val="24"/>
        </w:rPr>
      </w:pPr>
    </w:p>
    <w:p w14:paraId="661A0966" w14:textId="77777777" w:rsidR="00ED2805" w:rsidRPr="006A316D" w:rsidRDefault="00ED2805" w:rsidP="00A3678C">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Terfenadin:</w:t>
      </w:r>
    </w:p>
    <w:p w14:paraId="0FE77DA0" w14:textId="77777777" w:rsidR="00ED2805" w:rsidRPr="006A316D" w:rsidRDefault="00ED2805" w:rsidP="00A3678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Terfenadin ile birlikte azol grubu antifungal ilaçları alan hastalarda QTc aralığının uzamasına</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sekonder olarak ciddi kardiyak disritmilerin ortaya çıkması nedeniyle etkileşim çalışmaları</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yapılmıştır.</w:t>
      </w:r>
      <w:r w:rsidR="00E0744A" w:rsidRPr="006A316D">
        <w:rPr>
          <w:rFonts w:ascii="Times New Roman" w:hAnsi="Times New Roman" w:cs="Times New Roman"/>
          <w:sz w:val="24"/>
          <w:szCs w:val="24"/>
        </w:rPr>
        <w:t xml:space="preserve"> QTc aralığının uzadığını göstermek için günlük 200 mg’lık flukonazol dozuyla yapılan bir çalışma başarılı olmamıştır.</w:t>
      </w:r>
      <w:r w:rsidR="00E0744A" w:rsidRPr="006A316D">
        <w:rPr>
          <w:sz w:val="23"/>
          <w:szCs w:val="23"/>
        </w:rPr>
        <w:t xml:space="preserve"> </w:t>
      </w:r>
      <w:r w:rsidRPr="006A316D">
        <w:rPr>
          <w:rFonts w:ascii="Times New Roman" w:hAnsi="Times New Roman" w:cs="Times New Roman"/>
          <w:sz w:val="24"/>
          <w:szCs w:val="24"/>
        </w:rPr>
        <w:t xml:space="preserve"> Günde 400 mg ve 800 mg flukonazol ile yapılan bir</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başka çalışmada, günlük 400</w:t>
      </w:r>
      <w:r w:rsidR="00552D4C" w:rsidRPr="006A316D">
        <w:rPr>
          <w:rFonts w:ascii="Times New Roman" w:hAnsi="Times New Roman" w:cs="Times New Roman"/>
          <w:sz w:val="24"/>
          <w:szCs w:val="24"/>
        </w:rPr>
        <w:t xml:space="preserve"> </w:t>
      </w:r>
      <w:r w:rsidRPr="006A316D">
        <w:rPr>
          <w:rFonts w:ascii="Times New Roman" w:hAnsi="Times New Roman" w:cs="Times New Roman"/>
          <w:sz w:val="24"/>
          <w:szCs w:val="24"/>
        </w:rPr>
        <w:t>mg veya daha fazla dozlarda flukonazol, beraber uygulanan</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terfenadinin plazma seviyelerini önemli ölçüde yükseltmiştir. Terfenadin ile beraber 400 mg</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veya daha fazla dozlarda flukonazol kullanımı kontrendikedir (</w:t>
      </w:r>
      <w:r w:rsidR="00E0744A" w:rsidRPr="006A316D">
        <w:rPr>
          <w:rFonts w:ascii="Times New Roman" w:hAnsi="Times New Roman" w:cs="Times New Roman"/>
          <w:sz w:val="24"/>
          <w:szCs w:val="24"/>
        </w:rPr>
        <w:t>B</w:t>
      </w:r>
      <w:r w:rsidRPr="006A316D">
        <w:rPr>
          <w:rFonts w:ascii="Times New Roman" w:hAnsi="Times New Roman" w:cs="Times New Roman"/>
          <w:sz w:val="24"/>
          <w:szCs w:val="24"/>
        </w:rPr>
        <w:t xml:space="preserve">kz. </w:t>
      </w:r>
      <w:r w:rsidR="00327826" w:rsidRPr="006A316D">
        <w:rPr>
          <w:rFonts w:ascii="Times New Roman" w:hAnsi="Times New Roman" w:cs="Times New Roman"/>
          <w:sz w:val="24"/>
          <w:szCs w:val="24"/>
        </w:rPr>
        <w:t xml:space="preserve">Bölüm </w:t>
      </w:r>
      <w:r w:rsidRPr="006A316D">
        <w:rPr>
          <w:rFonts w:ascii="Times New Roman" w:hAnsi="Times New Roman" w:cs="Times New Roman"/>
          <w:sz w:val="24"/>
          <w:szCs w:val="24"/>
        </w:rPr>
        <w:t>4.3</w:t>
      </w:r>
      <w:r w:rsidR="00E0744A" w:rsidRPr="006A316D">
        <w:rPr>
          <w:rFonts w:ascii="Times New Roman" w:hAnsi="Times New Roman" w:cs="Times New Roman"/>
          <w:sz w:val="24"/>
          <w:szCs w:val="24"/>
        </w:rPr>
        <w:t xml:space="preserve"> Kontrendikasyonlar</w:t>
      </w:r>
      <w:r w:rsidRPr="006A316D">
        <w:rPr>
          <w:rFonts w:ascii="Times New Roman" w:hAnsi="Times New Roman" w:cs="Times New Roman"/>
          <w:sz w:val="24"/>
          <w:szCs w:val="24"/>
        </w:rPr>
        <w:t>). Günde 400 mg’dan az flukonazol dozları ile beraber terfenadin</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kullanılan hastalar ise dikkatlice izlenmelidir.</w:t>
      </w:r>
    </w:p>
    <w:p w14:paraId="3ECB285C" w14:textId="77777777" w:rsidR="00ED2805" w:rsidRPr="006A316D" w:rsidRDefault="00ED2805" w:rsidP="00A3678C">
      <w:pPr>
        <w:spacing w:after="0" w:line="240" w:lineRule="auto"/>
        <w:ind w:left="284"/>
        <w:jc w:val="both"/>
        <w:rPr>
          <w:rFonts w:ascii="Times New Roman" w:hAnsi="Times New Roman" w:cs="Times New Roman"/>
          <w:sz w:val="24"/>
          <w:szCs w:val="24"/>
        </w:rPr>
      </w:pPr>
    </w:p>
    <w:p w14:paraId="12D824F8" w14:textId="77777777" w:rsidR="00ED2805" w:rsidRPr="006A316D" w:rsidRDefault="00ED2805" w:rsidP="00A3678C">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Astemizol:</w:t>
      </w:r>
    </w:p>
    <w:p w14:paraId="090F05E1" w14:textId="77777777" w:rsidR="00ED2805" w:rsidRPr="006A316D" w:rsidRDefault="00ED2805" w:rsidP="00A3678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Flukonazolün astemizolle eş</w:t>
      </w:r>
      <w:r w:rsidR="00552D4C" w:rsidRPr="006A316D">
        <w:rPr>
          <w:rFonts w:ascii="Times New Roman" w:hAnsi="Times New Roman" w:cs="Times New Roman"/>
          <w:sz w:val="24"/>
          <w:szCs w:val="24"/>
        </w:rPr>
        <w:t xml:space="preserve"> </w:t>
      </w:r>
      <w:r w:rsidRPr="006A316D">
        <w:rPr>
          <w:rFonts w:ascii="Times New Roman" w:hAnsi="Times New Roman" w:cs="Times New Roman"/>
          <w:sz w:val="24"/>
          <w:szCs w:val="24"/>
        </w:rPr>
        <w:t>zamanlı uygulaması, astemizol kl</w:t>
      </w:r>
      <w:r w:rsidR="00E0744A" w:rsidRPr="006A316D">
        <w:rPr>
          <w:rFonts w:ascii="Times New Roman" w:hAnsi="Times New Roman" w:cs="Times New Roman"/>
          <w:sz w:val="24"/>
          <w:szCs w:val="24"/>
        </w:rPr>
        <w:t>e</w:t>
      </w:r>
      <w:r w:rsidRPr="006A316D">
        <w:rPr>
          <w:rFonts w:ascii="Times New Roman" w:hAnsi="Times New Roman" w:cs="Times New Roman"/>
          <w:sz w:val="24"/>
          <w:szCs w:val="24"/>
        </w:rPr>
        <w:t>rensini azaltabilir. Astemizolün</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 xml:space="preserve">plazma konsantrasyonlarında </w:t>
      </w:r>
      <w:r w:rsidR="00E0744A" w:rsidRPr="006A316D">
        <w:rPr>
          <w:rFonts w:ascii="Times New Roman" w:hAnsi="Times New Roman" w:cs="Times New Roman"/>
          <w:sz w:val="24"/>
          <w:szCs w:val="24"/>
        </w:rPr>
        <w:t>elde edilen</w:t>
      </w:r>
      <w:r w:rsidRPr="006A316D">
        <w:rPr>
          <w:rFonts w:ascii="Times New Roman" w:hAnsi="Times New Roman" w:cs="Times New Roman"/>
          <w:sz w:val="24"/>
          <w:szCs w:val="24"/>
        </w:rPr>
        <w:t xml:space="preserve"> artış, QT uzamasına ve nadiren </w:t>
      </w:r>
      <w:r w:rsidRPr="006A316D">
        <w:rPr>
          <w:rFonts w:ascii="Times New Roman" w:hAnsi="Times New Roman" w:cs="Times New Roman"/>
          <w:i/>
          <w:iCs/>
          <w:sz w:val="24"/>
          <w:szCs w:val="24"/>
        </w:rPr>
        <w:t>torsade</w:t>
      </w:r>
      <w:r w:rsidR="00973F19" w:rsidRPr="006A316D">
        <w:rPr>
          <w:rFonts w:ascii="Times New Roman" w:hAnsi="Times New Roman" w:cs="Times New Roman"/>
          <w:i/>
          <w:iCs/>
          <w:sz w:val="24"/>
          <w:szCs w:val="24"/>
        </w:rPr>
        <w:t>s</w:t>
      </w:r>
      <w:r w:rsidRPr="006A316D">
        <w:rPr>
          <w:rFonts w:ascii="Times New Roman" w:hAnsi="Times New Roman" w:cs="Times New Roman"/>
          <w:i/>
          <w:iCs/>
          <w:sz w:val="24"/>
          <w:szCs w:val="24"/>
        </w:rPr>
        <w:t xml:space="preserve"> de pointes</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oluşumuna neden olabilir. Flukonazol ve astemizolün birlikte uygulanması kontrendikedir</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w:t>
      </w:r>
      <w:r w:rsidR="00E0744A" w:rsidRPr="006A316D">
        <w:rPr>
          <w:rFonts w:ascii="Times New Roman" w:hAnsi="Times New Roman" w:cs="Times New Roman"/>
          <w:sz w:val="24"/>
          <w:szCs w:val="24"/>
        </w:rPr>
        <w:t>B</w:t>
      </w:r>
      <w:r w:rsidRPr="006A316D">
        <w:rPr>
          <w:rFonts w:ascii="Times New Roman" w:hAnsi="Times New Roman" w:cs="Times New Roman"/>
          <w:sz w:val="24"/>
          <w:szCs w:val="24"/>
        </w:rPr>
        <w:t xml:space="preserve">kz. </w:t>
      </w:r>
      <w:r w:rsidR="00973F19" w:rsidRPr="006A316D">
        <w:rPr>
          <w:rFonts w:ascii="Times New Roman" w:hAnsi="Times New Roman" w:cs="Times New Roman"/>
          <w:sz w:val="24"/>
          <w:szCs w:val="24"/>
        </w:rPr>
        <w:t xml:space="preserve">Bölüm </w:t>
      </w:r>
      <w:r w:rsidRPr="006A316D">
        <w:rPr>
          <w:rFonts w:ascii="Times New Roman" w:hAnsi="Times New Roman" w:cs="Times New Roman"/>
          <w:sz w:val="24"/>
          <w:szCs w:val="24"/>
        </w:rPr>
        <w:t>4.3).</w:t>
      </w:r>
    </w:p>
    <w:p w14:paraId="20613CAA" w14:textId="77777777" w:rsidR="00ED2805" w:rsidRPr="006A316D" w:rsidRDefault="00ED2805" w:rsidP="00A3678C">
      <w:pPr>
        <w:spacing w:after="0" w:line="240" w:lineRule="auto"/>
        <w:ind w:left="284"/>
        <w:jc w:val="both"/>
        <w:rPr>
          <w:rFonts w:ascii="Times New Roman" w:hAnsi="Times New Roman" w:cs="Times New Roman"/>
          <w:sz w:val="24"/>
          <w:szCs w:val="24"/>
        </w:rPr>
      </w:pPr>
    </w:p>
    <w:p w14:paraId="4D611AE0" w14:textId="77777777" w:rsidR="00ED2805" w:rsidRPr="006A316D" w:rsidRDefault="00ED2805" w:rsidP="00A3678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Pimozid</w:t>
      </w:r>
      <w:r w:rsidRPr="006A316D">
        <w:rPr>
          <w:rFonts w:ascii="Times New Roman" w:hAnsi="Times New Roman" w:cs="Times New Roman"/>
          <w:sz w:val="24"/>
          <w:szCs w:val="24"/>
        </w:rPr>
        <w:t>:</w:t>
      </w:r>
    </w:p>
    <w:p w14:paraId="2150EA67" w14:textId="77777777" w:rsidR="00973F19" w:rsidRPr="006A316D" w:rsidRDefault="00ED2805" w:rsidP="00A3678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i/>
          <w:iCs/>
          <w:sz w:val="24"/>
          <w:szCs w:val="24"/>
        </w:rPr>
        <w:t xml:space="preserve">İn vitro </w:t>
      </w:r>
      <w:r w:rsidRPr="006A316D">
        <w:rPr>
          <w:rFonts w:ascii="Times New Roman" w:hAnsi="Times New Roman" w:cs="Times New Roman"/>
          <w:sz w:val="24"/>
          <w:szCs w:val="24"/>
        </w:rPr>
        <w:t xml:space="preserve">veya </w:t>
      </w:r>
      <w:r w:rsidRPr="006A316D">
        <w:rPr>
          <w:rFonts w:ascii="Times New Roman" w:hAnsi="Times New Roman" w:cs="Times New Roman"/>
          <w:i/>
          <w:iCs/>
          <w:sz w:val="24"/>
          <w:szCs w:val="24"/>
        </w:rPr>
        <w:t xml:space="preserve">in vivo </w:t>
      </w:r>
      <w:r w:rsidRPr="006A316D">
        <w:rPr>
          <w:rFonts w:ascii="Times New Roman" w:hAnsi="Times New Roman" w:cs="Times New Roman"/>
          <w:sz w:val="24"/>
          <w:szCs w:val="24"/>
        </w:rPr>
        <w:t>olarak incelenmediği halde, flukonazolün pimozid ile birlikte</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uygulanması, pimozid metabolizmasında inhibisyona yol açabilir. Pimozidin plazma</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 xml:space="preserve">konsantrasyonlarındaki artış, QT uzamasına ve nadiren </w:t>
      </w:r>
      <w:r w:rsidRPr="006A316D">
        <w:rPr>
          <w:rFonts w:ascii="Times New Roman" w:hAnsi="Times New Roman" w:cs="Times New Roman"/>
          <w:i/>
          <w:iCs/>
          <w:sz w:val="24"/>
          <w:szCs w:val="24"/>
        </w:rPr>
        <w:t xml:space="preserve">torsades de pointes </w:t>
      </w:r>
      <w:r w:rsidRPr="006A316D">
        <w:rPr>
          <w:rFonts w:ascii="Times New Roman" w:hAnsi="Times New Roman" w:cs="Times New Roman"/>
          <w:sz w:val="24"/>
          <w:szCs w:val="24"/>
        </w:rPr>
        <w:t>oluşumuna neden</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olabilir. Flukonazolün pimozidle birlikte uygulanması kontrendikedir (</w:t>
      </w:r>
      <w:r w:rsidR="00E0744A" w:rsidRPr="006A316D">
        <w:rPr>
          <w:rFonts w:ascii="Times New Roman" w:hAnsi="Times New Roman" w:cs="Times New Roman"/>
          <w:sz w:val="24"/>
          <w:szCs w:val="24"/>
        </w:rPr>
        <w:t>B</w:t>
      </w:r>
      <w:r w:rsidRPr="006A316D">
        <w:rPr>
          <w:rFonts w:ascii="Times New Roman" w:hAnsi="Times New Roman" w:cs="Times New Roman"/>
          <w:sz w:val="24"/>
          <w:szCs w:val="24"/>
        </w:rPr>
        <w:t xml:space="preserve">kz. </w:t>
      </w:r>
      <w:r w:rsidR="00973F19" w:rsidRPr="006A316D">
        <w:rPr>
          <w:rFonts w:ascii="Times New Roman" w:hAnsi="Times New Roman" w:cs="Times New Roman"/>
          <w:sz w:val="24"/>
          <w:szCs w:val="24"/>
        </w:rPr>
        <w:t xml:space="preserve">Bölüm </w:t>
      </w:r>
      <w:r w:rsidRPr="006A316D">
        <w:rPr>
          <w:rFonts w:ascii="Times New Roman" w:hAnsi="Times New Roman" w:cs="Times New Roman"/>
          <w:sz w:val="24"/>
          <w:szCs w:val="24"/>
        </w:rPr>
        <w:t>4.3).</w:t>
      </w:r>
    </w:p>
    <w:p w14:paraId="383D41E4" w14:textId="77777777" w:rsidR="00243AF5" w:rsidRPr="006A316D" w:rsidRDefault="00243AF5" w:rsidP="00A3678C">
      <w:pPr>
        <w:spacing w:after="0" w:line="240" w:lineRule="auto"/>
        <w:ind w:left="284"/>
        <w:jc w:val="both"/>
        <w:rPr>
          <w:rFonts w:ascii="Times New Roman" w:hAnsi="Times New Roman" w:cs="Times New Roman"/>
          <w:sz w:val="24"/>
          <w:szCs w:val="24"/>
        </w:rPr>
      </w:pPr>
    </w:p>
    <w:p w14:paraId="2115A4D1" w14:textId="77777777" w:rsidR="00ED2805" w:rsidRPr="006A316D" w:rsidRDefault="00ED2805" w:rsidP="00A3678C">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Kinidin:</w:t>
      </w:r>
    </w:p>
    <w:p w14:paraId="5660A95C" w14:textId="77777777" w:rsidR="00ED2805" w:rsidRPr="006A316D" w:rsidRDefault="00ED2805" w:rsidP="00A3678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i/>
          <w:iCs/>
          <w:sz w:val="24"/>
          <w:szCs w:val="24"/>
        </w:rPr>
        <w:t xml:space="preserve">İn vitro </w:t>
      </w:r>
      <w:r w:rsidRPr="006A316D">
        <w:rPr>
          <w:rFonts w:ascii="Times New Roman" w:hAnsi="Times New Roman" w:cs="Times New Roman"/>
          <w:sz w:val="24"/>
          <w:szCs w:val="24"/>
        </w:rPr>
        <w:t xml:space="preserve">veya </w:t>
      </w:r>
      <w:r w:rsidRPr="006A316D">
        <w:rPr>
          <w:rFonts w:ascii="Times New Roman" w:hAnsi="Times New Roman" w:cs="Times New Roman"/>
          <w:i/>
          <w:iCs/>
          <w:sz w:val="24"/>
          <w:szCs w:val="24"/>
        </w:rPr>
        <w:t xml:space="preserve">in vivo </w:t>
      </w:r>
      <w:r w:rsidRPr="006A316D">
        <w:rPr>
          <w:rFonts w:ascii="Times New Roman" w:hAnsi="Times New Roman" w:cs="Times New Roman"/>
          <w:sz w:val="24"/>
          <w:szCs w:val="24"/>
        </w:rPr>
        <w:t>çalışılmamış olmasına rağmen, flukonazolün kinidin ile birlikte</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uygulanması, kinidin metabolizmasında inhibisyona neden olabilir. Kinidin kullanımı, QT</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 xml:space="preserve">uzaması ve nadir olarak </w:t>
      </w:r>
      <w:r w:rsidRPr="006A316D">
        <w:rPr>
          <w:rFonts w:ascii="Times New Roman" w:hAnsi="Times New Roman" w:cs="Times New Roman"/>
          <w:i/>
          <w:iCs/>
          <w:sz w:val="24"/>
          <w:szCs w:val="24"/>
        </w:rPr>
        <w:t xml:space="preserve">torsades de pointes </w:t>
      </w:r>
      <w:r w:rsidRPr="006A316D">
        <w:rPr>
          <w:rFonts w:ascii="Times New Roman" w:hAnsi="Times New Roman" w:cs="Times New Roman"/>
          <w:sz w:val="24"/>
          <w:szCs w:val="24"/>
        </w:rPr>
        <w:t>vakaları ile ilişkilendirilmiştir. Flukonazolün</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kinidin ile birlikte uygulanması kontrendikedir (</w:t>
      </w:r>
      <w:r w:rsidR="00E0744A" w:rsidRPr="006A316D">
        <w:rPr>
          <w:rFonts w:ascii="Times New Roman" w:hAnsi="Times New Roman" w:cs="Times New Roman"/>
          <w:sz w:val="24"/>
          <w:szCs w:val="24"/>
        </w:rPr>
        <w:t>B</w:t>
      </w:r>
      <w:r w:rsidRPr="006A316D">
        <w:rPr>
          <w:rFonts w:ascii="Times New Roman" w:hAnsi="Times New Roman" w:cs="Times New Roman"/>
          <w:sz w:val="24"/>
          <w:szCs w:val="24"/>
        </w:rPr>
        <w:t xml:space="preserve">kz. </w:t>
      </w:r>
      <w:r w:rsidR="00973F19" w:rsidRPr="006A316D">
        <w:rPr>
          <w:rFonts w:ascii="Times New Roman" w:hAnsi="Times New Roman" w:cs="Times New Roman"/>
          <w:sz w:val="24"/>
          <w:szCs w:val="24"/>
        </w:rPr>
        <w:t xml:space="preserve">Bölüm </w:t>
      </w:r>
      <w:r w:rsidRPr="006A316D">
        <w:rPr>
          <w:rFonts w:ascii="Times New Roman" w:hAnsi="Times New Roman" w:cs="Times New Roman"/>
          <w:sz w:val="24"/>
          <w:szCs w:val="24"/>
        </w:rPr>
        <w:t>4.3).</w:t>
      </w:r>
    </w:p>
    <w:p w14:paraId="554E1A8B" w14:textId="77777777" w:rsidR="00ED2805" w:rsidRPr="006A316D" w:rsidRDefault="00ED2805" w:rsidP="00A3678C">
      <w:pPr>
        <w:spacing w:after="0" w:line="240" w:lineRule="auto"/>
        <w:ind w:left="284"/>
        <w:jc w:val="both"/>
        <w:rPr>
          <w:rFonts w:ascii="Times New Roman" w:hAnsi="Times New Roman" w:cs="Times New Roman"/>
          <w:sz w:val="24"/>
          <w:szCs w:val="24"/>
        </w:rPr>
      </w:pPr>
    </w:p>
    <w:p w14:paraId="305D2475" w14:textId="77777777" w:rsidR="00ED2805" w:rsidRPr="006A316D" w:rsidRDefault="00ED2805" w:rsidP="00A3678C">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Eritromisin:</w:t>
      </w:r>
    </w:p>
    <w:p w14:paraId="004C6DCE" w14:textId="77777777" w:rsidR="00ED2805" w:rsidRPr="006A316D" w:rsidRDefault="00ED2805" w:rsidP="00A3678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ile eritromisinin eş</w:t>
      </w:r>
      <w:r w:rsidR="00552D4C" w:rsidRPr="006A316D">
        <w:rPr>
          <w:rFonts w:ascii="Times New Roman" w:hAnsi="Times New Roman" w:cs="Times New Roman"/>
          <w:sz w:val="24"/>
          <w:szCs w:val="24"/>
        </w:rPr>
        <w:t xml:space="preserve"> </w:t>
      </w:r>
      <w:r w:rsidRPr="006A316D">
        <w:rPr>
          <w:rFonts w:ascii="Times New Roman" w:hAnsi="Times New Roman" w:cs="Times New Roman"/>
          <w:sz w:val="24"/>
          <w:szCs w:val="24"/>
        </w:rPr>
        <w:t>zamanlı kullanımı, kardiyotoksisite (uzamış QT aralığı,</w:t>
      </w:r>
      <w:r w:rsidR="00360C93" w:rsidRPr="006A316D">
        <w:rPr>
          <w:rFonts w:ascii="Times New Roman" w:hAnsi="Times New Roman" w:cs="Times New Roman"/>
          <w:sz w:val="24"/>
          <w:szCs w:val="24"/>
        </w:rPr>
        <w:t xml:space="preserve"> </w:t>
      </w:r>
      <w:r w:rsidRPr="006A316D">
        <w:rPr>
          <w:rFonts w:ascii="Times New Roman" w:hAnsi="Times New Roman" w:cs="Times New Roman"/>
          <w:i/>
          <w:iCs/>
          <w:sz w:val="24"/>
          <w:szCs w:val="24"/>
        </w:rPr>
        <w:t>torsades de pointes</w:t>
      </w:r>
      <w:r w:rsidRPr="006A316D">
        <w:rPr>
          <w:rFonts w:ascii="Times New Roman" w:hAnsi="Times New Roman" w:cs="Times New Roman"/>
          <w:sz w:val="24"/>
          <w:szCs w:val="24"/>
        </w:rPr>
        <w:t>) ve sonuç olarak ani kalp ölümü riskini artırma potansiyeline sahiptir.</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Flukonazolün eritromisin ile birlikte uygulanması kontrendikedir</w:t>
      </w:r>
      <w:r w:rsidR="00973F19" w:rsidRPr="006A316D">
        <w:rPr>
          <w:rFonts w:ascii="Times New Roman" w:hAnsi="Times New Roman" w:cs="Times New Roman"/>
          <w:sz w:val="24"/>
          <w:szCs w:val="24"/>
        </w:rPr>
        <w:t xml:space="preserve"> (</w:t>
      </w:r>
      <w:r w:rsidR="00E0744A" w:rsidRPr="006A316D">
        <w:rPr>
          <w:rFonts w:ascii="Times New Roman" w:hAnsi="Times New Roman" w:cs="Times New Roman"/>
          <w:sz w:val="24"/>
          <w:szCs w:val="24"/>
        </w:rPr>
        <w:t>B</w:t>
      </w:r>
      <w:r w:rsidR="00973F19" w:rsidRPr="006A316D">
        <w:rPr>
          <w:rFonts w:ascii="Times New Roman" w:hAnsi="Times New Roman" w:cs="Times New Roman"/>
          <w:sz w:val="24"/>
          <w:szCs w:val="24"/>
        </w:rPr>
        <w:t>kz. Bölüm 4.3).</w:t>
      </w:r>
    </w:p>
    <w:p w14:paraId="0F1D2E63" w14:textId="77777777" w:rsidR="00ED2805" w:rsidRPr="006A316D" w:rsidRDefault="00ED2805" w:rsidP="00A3678C">
      <w:pPr>
        <w:spacing w:after="0" w:line="240" w:lineRule="auto"/>
        <w:ind w:left="284"/>
        <w:jc w:val="both"/>
        <w:rPr>
          <w:rFonts w:ascii="Times New Roman" w:hAnsi="Times New Roman" w:cs="Times New Roman"/>
          <w:sz w:val="24"/>
          <w:szCs w:val="24"/>
        </w:rPr>
      </w:pPr>
    </w:p>
    <w:p w14:paraId="6D89486E" w14:textId="77777777" w:rsidR="00B458FD" w:rsidRPr="006A316D" w:rsidRDefault="00B458FD" w:rsidP="00A3678C">
      <w:pPr>
        <w:spacing w:after="0" w:line="240" w:lineRule="auto"/>
        <w:ind w:left="284"/>
        <w:jc w:val="both"/>
        <w:rPr>
          <w:rFonts w:ascii="Times New Roman" w:hAnsi="Times New Roman" w:cs="Times New Roman"/>
          <w:sz w:val="24"/>
          <w:szCs w:val="24"/>
        </w:rPr>
      </w:pPr>
    </w:p>
    <w:p w14:paraId="46ACA292" w14:textId="327B76F3" w:rsidR="00B458FD" w:rsidRPr="006A316D" w:rsidRDefault="00B458FD" w:rsidP="00A3678C">
      <w:pPr>
        <w:spacing w:after="0" w:line="240" w:lineRule="auto"/>
        <w:ind w:left="284"/>
        <w:jc w:val="both"/>
        <w:rPr>
          <w:rFonts w:ascii="Times New Roman" w:hAnsi="Times New Roman" w:cs="Times New Roman"/>
          <w:sz w:val="24"/>
          <w:szCs w:val="24"/>
        </w:rPr>
      </w:pPr>
    </w:p>
    <w:p w14:paraId="458F1082" w14:textId="77777777" w:rsidR="00F22692" w:rsidRPr="006A316D" w:rsidRDefault="00F22692" w:rsidP="00A3678C">
      <w:pPr>
        <w:spacing w:after="0" w:line="240" w:lineRule="auto"/>
        <w:ind w:left="284"/>
        <w:jc w:val="both"/>
        <w:rPr>
          <w:rFonts w:ascii="Times New Roman" w:hAnsi="Times New Roman" w:cs="Times New Roman"/>
          <w:sz w:val="24"/>
          <w:szCs w:val="24"/>
        </w:rPr>
      </w:pPr>
    </w:p>
    <w:p w14:paraId="67E59BC5" w14:textId="77777777" w:rsidR="00B458FD" w:rsidRPr="006A316D" w:rsidRDefault="00B458FD" w:rsidP="00A3678C">
      <w:pPr>
        <w:spacing w:after="0" w:line="240" w:lineRule="auto"/>
        <w:ind w:left="284"/>
        <w:jc w:val="both"/>
        <w:rPr>
          <w:rFonts w:ascii="Times New Roman" w:hAnsi="Times New Roman" w:cs="Times New Roman"/>
          <w:sz w:val="24"/>
          <w:szCs w:val="24"/>
        </w:rPr>
      </w:pPr>
    </w:p>
    <w:p w14:paraId="6E95C182" w14:textId="77777777" w:rsidR="00973F19" w:rsidRPr="006A316D" w:rsidRDefault="00973F19" w:rsidP="00973F19">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lastRenderedPageBreak/>
        <w:t xml:space="preserve">Aşağıdaki diğer tıbbi ürünler ile kullanımı tavsiye edilmez: </w:t>
      </w:r>
    </w:p>
    <w:p w14:paraId="022D9C7B" w14:textId="77777777" w:rsidR="0064140A" w:rsidRPr="006A316D" w:rsidRDefault="0064140A" w:rsidP="00973F19">
      <w:pPr>
        <w:spacing w:after="0" w:line="240" w:lineRule="auto"/>
        <w:ind w:left="284"/>
        <w:jc w:val="both"/>
        <w:rPr>
          <w:rFonts w:ascii="Times New Roman" w:hAnsi="Times New Roman" w:cs="Times New Roman"/>
          <w:b/>
          <w:bCs/>
          <w:sz w:val="24"/>
          <w:szCs w:val="24"/>
        </w:rPr>
      </w:pPr>
    </w:p>
    <w:p w14:paraId="2AD8BEBA" w14:textId="77777777" w:rsidR="00973F19" w:rsidRPr="006A316D" w:rsidRDefault="00973F19" w:rsidP="00973F19">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 xml:space="preserve">Halofantrin: </w:t>
      </w:r>
    </w:p>
    <w:p w14:paraId="5819A735" w14:textId="77777777" w:rsidR="00973F19" w:rsidRPr="006A316D" w:rsidRDefault="00973F19" w:rsidP="00973F19">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CYP3A4 üzerinde inhibisyon etkisi nedeniyle halofantrinin plazma konsantrasyonunu artırabilir. Flukonazol ile halofantrinin eş zamanlı kullanımı, kardiyotoksisite (uzamış QT aralığı, torsades de pointes) ve sonuç olarak ani kalp ölümü riskini artırma potansiyeline sahiptir. Bu kombinasyondan kaçınılmalıdır (</w:t>
      </w:r>
      <w:r w:rsidR="00E0744A" w:rsidRPr="006A316D">
        <w:rPr>
          <w:rFonts w:ascii="Times New Roman" w:hAnsi="Times New Roman" w:cs="Times New Roman"/>
          <w:sz w:val="24"/>
          <w:szCs w:val="24"/>
        </w:rPr>
        <w:t>B</w:t>
      </w:r>
      <w:r w:rsidRPr="006A316D">
        <w:rPr>
          <w:rFonts w:ascii="Times New Roman" w:hAnsi="Times New Roman" w:cs="Times New Roman"/>
          <w:sz w:val="24"/>
          <w:szCs w:val="24"/>
        </w:rPr>
        <w:t xml:space="preserve">kz. Bölüm 4.4). </w:t>
      </w:r>
    </w:p>
    <w:p w14:paraId="6B309197" w14:textId="77777777" w:rsidR="00973F19" w:rsidRPr="006A316D" w:rsidRDefault="00973F19" w:rsidP="00973F19">
      <w:pPr>
        <w:spacing w:after="0" w:line="240" w:lineRule="auto"/>
        <w:ind w:left="284"/>
        <w:jc w:val="both"/>
        <w:rPr>
          <w:rFonts w:ascii="Times New Roman" w:hAnsi="Times New Roman" w:cs="Times New Roman"/>
          <w:b/>
          <w:bCs/>
          <w:sz w:val="24"/>
          <w:szCs w:val="24"/>
        </w:rPr>
      </w:pPr>
    </w:p>
    <w:p w14:paraId="414E38EE" w14:textId="77777777" w:rsidR="00973F19" w:rsidRPr="006A316D" w:rsidRDefault="00973F19" w:rsidP="00973F19">
      <w:pPr>
        <w:spacing w:after="0" w:line="240" w:lineRule="auto"/>
        <w:ind w:left="284"/>
        <w:jc w:val="both"/>
        <w:rPr>
          <w:rFonts w:ascii="Times New Roman" w:hAnsi="Times New Roman" w:cs="Times New Roman"/>
          <w:i/>
          <w:iCs/>
          <w:sz w:val="24"/>
          <w:szCs w:val="24"/>
        </w:rPr>
      </w:pPr>
      <w:r w:rsidRPr="006A316D">
        <w:rPr>
          <w:rFonts w:ascii="Times New Roman" w:hAnsi="Times New Roman" w:cs="Times New Roman"/>
          <w:i/>
          <w:iCs/>
          <w:sz w:val="24"/>
          <w:szCs w:val="24"/>
        </w:rPr>
        <w:t xml:space="preserve">Aşağıdaki diğer tıbbi ürünler ile kullanımı dikkatle uygulanmalıdır: </w:t>
      </w:r>
    </w:p>
    <w:p w14:paraId="70EACBAA" w14:textId="77777777" w:rsidR="00E0744A" w:rsidRPr="006A316D" w:rsidRDefault="00E0744A" w:rsidP="00973F19">
      <w:pPr>
        <w:spacing w:after="0" w:line="240" w:lineRule="auto"/>
        <w:ind w:left="284"/>
        <w:jc w:val="both"/>
        <w:rPr>
          <w:rFonts w:ascii="Times New Roman" w:hAnsi="Times New Roman" w:cs="Times New Roman"/>
          <w:i/>
          <w:iCs/>
          <w:sz w:val="24"/>
          <w:szCs w:val="24"/>
        </w:rPr>
      </w:pPr>
    </w:p>
    <w:p w14:paraId="7A94245A" w14:textId="77777777" w:rsidR="00170F63" w:rsidRPr="006A316D" w:rsidRDefault="00973F19" w:rsidP="00BD0D7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 xml:space="preserve">Amiodaron: </w:t>
      </w:r>
      <w:r w:rsidRPr="006A316D">
        <w:rPr>
          <w:rFonts w:ascii="Times New Roman" w:hAnsi="Times New Roman" w:cs="Times New Roman"/>
          <w:sz w:val="24"/>
          <w:szCs w:val="24"/>
        </w:rPr>
        <w:t>Flukonazolün amiodaron ile beraber verilmesi QT aralığı uzamasını artırabilir. Flukonazol ile amiodaronun beraber verilmesi gerekli ise, özellikle yüksek doz flukonazolde (800 mg), dikkatle uygulanmalıdır.</w:t>
      </w:r>
    </w:p>
    <w:p w14:paraId="20438A9B" w14:textId="77777777" w:rsidR="00E0744A" w:rsidRPr="006A316D" w:rsidRDefault="00E0744A" w:rsidP="00BD0D73">
      <w:pPr>
        <w:spacing w:after="0" w:line="240" w:lineRule="auto"/>
        <w:ind w:left="284"/>
        <w:jc w:val="both"/>
        <w:rPr>
          <w:rFonts w:ascii="Times New Roman" w:hAnsi="Times New Roman" w:cs="Times New Roman"/>
          <w:i/>
          <w:iCs/>
          <w:sz w:val="24"/>
          <w:szCs w:val="24"/>
          <w:u w:val="single"/>
        </w:rPr>
      </w:pPr>
    </w:p>
    <w:p w14:paraId="5A29242A" w14:textId="77777777" w:rsidR="00ED2805" w:rsidRPr="006A316D" w:rsidRDefault="00ED2805" w:rsidP="00A3678C">
      <w:pPr>
        <w:spacing w:after="0" w:line="240" w:lineRule="auto"/>
        <w:ind w:left="284"/>
        <w:jc w:val="both"/>
        <w:rPr>
          <w:rFonts w:ascii="Times New Roman" w:hAnsi="Times New Roman" w:cs="Times New Roman"/>
          <w:i/>
          <w:iCs/>
          <w:sz w:val="24"/>
          <w:szCs w:val="24"/>
          <w:u w:val="single"/>
        </w:rPr>
      </w:pPr>
      <w:r w:rsidRPr="006A316D">
        <w:rPr>
          <w:rFonts w:ascii="Times New Roman" w:hAnsi="Times New Roman" w:cs="Times New Roman"/>
          <w:i/>
          <w:iCs/>
          <w:sz w:val="24"/>
          <w:szCs w:val="24"/>
          <w:u w:val="single"/>
        </w:rPr>
        <w:t>Aşağıdaki diğer tıbbi ürünler ile birlikte kullanımı önlem ve doz ayarlaması gerektirir:</w:t>
      </w:r>
    </w:p>
    <w:p w14:paraId="775D4083" w14:textId="77777777" w:rsidR="00ED2805" w:rsidRPr="006A316D" w:rsidRDefault="00ED2805" w:rsidP="00A3678C">
      <w:pPr>
        <w:spacing w:after="0" w:line="240" w:lineRule="auto"/>
        <w:ind w:left="284"/>
        <w:jc w:val="both"/>
        <w:rPr>
          <w:rFonts w:ascii="Times New Roman" w:hAnsi="Times New Roman" w:cs="Times New Roman"/>
          <w:sz w:val="24"/>
          <w:szCs w:val="24"/>
        </w:rPr>
      </w:pPr>
    </w:p>
    <w:p w14:paraId="4F80D8F3" w14:textId="77777777" w:rsidR="00ED2805" w:rsidRPr="006A316D" w:rsidRDefault="00ED2805" w:rsidP="0064140A">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Diğer tıbbi ürünlerin flukonazol üzerine etkisi</w:t>
      </w:r>
    </w:p>
    <w:p w14:paraId="1D0FC9C1" w14:textId="77777777" w:rsidR="00B458FD" w:rsidRPr="006A316D" w:rsidRDefault="00B458FD" w:rsidP="00A3678C">
      <w:pPr>
        <w:spacing w:after="0" w:line="240" w:lineRule="auto"/>
        <w:ind w:left="284"/>
        <w:jc w:val="both"/>
        <w:rPr>
          <w:rFonts w:ascii="Times New Roman" w:hAnsi="Times New Roman" w:cs="Times New Roman"/>
          <w:b/>
          <w:bCs/>
          <w:sz w:val="24"/>
          <w:szCs w:val="24"/>
        </w:rPr>
      </w:pPr>
    </w:p>
    <w:p w14:paraId="01BBC509" w14:textId="77777777" w:rsidR="00ED2805" w:rsidRPr="006A316D" w:rsidRDefault="00360C93" w:rsidP="00A3678C">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Rifampisin</w:t>
      </w:r>
      <w:r w:rsidR="00ED2805" w:rsidRPr="006A316D">
        <w:rPr>
          <w:rFonts w:ascii="Times New Roman" w:hAnsi="Times New Roman" w:cs="Times New Roman"/>
          <w:b/>
          <w:bCs/>
          <w:sz w:val="24"/>
          <w:szCs w:val="24"/>
        </w:rPr>
        <w:t>:</w:t>
      </w:r>
    </w:p>
    <w:p w14:paraId="1B82AE88" w14:textId="77777777" w:rsidR="00ED2805" w:rsidRPr="006A316D" w:rsidRDefault="00ED2805" w:rsidP="00A3678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ile birlikte uygulanan rifampisin, flukonazolun eğri altı alanında (EAA) %25 ve</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yarı-ömründe %20 azalmaya yol açmıştır. Birlikte rifampisin verilen hastalarda flukonazol</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dozunun artırılması düşünülmelidir.</w:t>
      </w:r>
    </w:p>
    <w:p w14:paraId="7F6E5D17" w14:textId="77777777" w:rsidR="00B31684" w:rsidRPr="006A316D" w:rsidRDefault="00B31684" w:rsidP="00A3678C">
      <w:pPr>
        <w:spacing w:after="0" w:line="240" w:lineRule="auto"/>
        <w:ind w:left="284"/>
        <w:jc w:val="both"/>
        <w:rPr>
          <w:rFonts w:ascii="Times New Roman" w:hAnsi="Times New Roman" w:cs="Times New Roman"/>
          <w:sz w:val="24"/>
          <w:szCs w:val="24"/>
        </w:rPr>
      </w:pPr>
    </w:p>
    <w:p w14:paraId="47F6295A" w14:textId="77777777" w:rsidR="00B31684" w:rsidRPr="006A316D" w:rsidRDefault="00B31684" w:rsidP="00A3678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Etkileşim çalışmaları, flukonazol ile birlikte alınan gıdaların, simetidinin, antiasitlerin veya kemik iliği naklini takiben yapılan tüm vücut ışınlamasının, flukonazolun emiliminde klinik olarak anlamlı bir azalmaya neden olmadığını göstermiştir.</w:t>
      </w:r>
    </w:p>
    <w:p w14:paraId="499D2E0C" w14:textId="77777777" w:rsidR="00B31684" w:rsidRPr="006A316D" w:rsidRDefault="00B31684" w:rsidP="00B31684">
      <w:pPr>
        <w:spacing w:after="0" w:line="240" w:lineRule="auto"/>
        <w:ind w:left="284"/>
        <w:jc w:val="both"/>
        <w:rPr>
          <w:rFonts w:ascii="Times New Roman" w:hAnsi="Times New Roman" w:cs="Times New Roman"/>
          <w:b/>
          <w:bCs/>
          <w:sz w:val="24"/>
          <w:szCs w:val="24"/>
        </w:rPr>
      </w:pPr>
    </w:p>
    <w:p w14:paraId="2DFC5FB9" w14:textId="77777777" w:rsidR="00B31684" w:rsidRPr="006A316D" w:rsidRDefault="00B31684" w:rsidP="00B31684">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Hidrokloroti</w:t>
      </w:r>
      <w:r w:rsidR="00552D4C" w:rsidRPr="006A316D">
        <w:rPr>
          <w:rFonts w:ascii="Times New Roman" w:hAnsi="Times New Roman" w:cs="Times New Roman"/>
          <w:b/>
          <w:bCs/>
          <w:sz w:val="24"/>
          <w:szCs w:val="24"/>
        </w:rPr>
        <w:t>y</w:t>
      </w:r>
      <w:r w:rsidRPr="006A316D">
        <w:rPr>
          <w:rFonts w:ascii="Times New Roman" w:hAnsi="Times New Roman" w:cs="Times New Roman"/>
          <w:b/>
          <w:bCs/>
          <w:sz w:val="24"/>
          <w:szCs w:val="24"/>
        </w:rPr>
        <w:t>azid:</w:t>
      </w:r>
    </w:p>
    <w:p w14:paraId="45F0FC1F" w14:textId="77777777" w:rsidR="00ED2805" w:rsidRPr="006A316D" w:rsidRDefault="00D5405B" w:rsidP="00B31684">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Bir farmakokinetik </w:t>
      </w:r>
      <w:r w:rsidR="00B31684" w:rsidRPr="006A316D">
        <w:rPr>
          <w:rFonts w:ascii="Times New Roman" w:hAnsi="Times New Roman" w:cs="Times New Roman"/>
          <w:sz w:val="24"/>
          <w:szCs w:val="24"/>
        </w:rPr>
        <w:t xml:space="preserve">etkileşim çalışmasında flukonazol alan sağlıklı gönüllülere çoklu dozda </w:t>
      </w:r>
      <w:r w:rsidRPr="006A316D">
        <w:rPr>
          <w:rFonts w:ascii="Times New Roman" w:hAnsi="Times New Roman" w:cs="Times New Roman"/>
          <w:sz w:val="24"/>
          <w:szCs w:val="24"/>
        </w:rPr>
        <w:t>hidroklorotiyazid</w:t>
      </w:r>
      <w:r w:rsidR="00552D4C" w:rsidRPr="006A316D">
        <w:rPr>
          <w:rFonts w:ascii="Times New Roman" w:hAnsi="Times New Roman" w:cs="Times New Roman"/>
          <w:sz w:val="24"/>
          <w:szCs w:val="24"/>
        </w:rPr>
        <w:t>in</w:t>
      </w:r>
      <w:r w:rsidRPr="006A316D">
        <w:rPr>
          <w:rFonts w:ascii="Times New Roman" w:hAnsi="Times New Roman" w:cs="Times New Roman"/>
          <w:sz w:val="24"/>
          <w:szCs w:val="24"/>
        </w:rPr>
        <w:t xml:space="preserve"> birlikte</w:t>
      </w:r>
      <w:r w:rsidR="00B31684" w:rsidRPr="006A316D">
        <w:rPr>
          <w:rFonts w:ascii="Times New Roman" w:hAnsi="Times New Roman" w:cs="Times New Roman"/>
          <w:sz w:val="24"/>
          <w:szCs w:val="24"/>
        </w:rPr>
        <w:t xml:space="preserve"> verilmesi flukonazol</w:t>
      </w:r>
      <w:r w:rsidR="0044152C" w:rsidRPr="006A316D">
        <w:rPr>
          <w:rFonts w:ascii="Times New Roman" w:hAnsi="Times New Roman" w:cs="Times New Roman"/>
          <w:sz w:val="24"/>
          <w:szCs w:val="24"/>
        </w:rPr>
        <w:t>ün</w:t>
      </w:r>
      <w:r w:rsidR="00B31684" w:rsidRPr="006A316D">
        <w:rPr>
          <w:rFonts w:ascii="Times New Roman" w:hAnsi="Times New Roman" w:cs="Times New Roman"/>
          <w:sz w:val="24"/>
          <w:szCs w:val="24"/>
        </w:rPr>
        <w:t xml:space="preserve"> plazma </w:t>
      </w:r>
      <w:r w:rsidRPr="006A316D">
        <w:rPr>
          <w:rFonts w:ascii="Times New Roman" w:hAnsi="Times New Roman" w:cs="Times New Roman"/>
          <w:sz w:val="24"/>
          <w:szCs w:val="24"/>
        </w:rPr>
        <w:t>konsantrasyonunu</w:t>
      </w:r>
      <w:r w:rsidR="00B31684" w:rsidRPr="006A316D">
        <w:rPr>
          <w:rFonts w:ascii="Times New Roman" w:hAnsi="Times New Roman" w:cs="Times New Roman"/>
          <w:sz w:val="24"/>
          <w:szCs w:val="24"/>
        </w:rPr>
        <w:t xml:space="preserve"> %40 artırmıştır.</w:t>
      </w:r>
      <w:r w:rsidRPr="006A316D">
        <w:rPr>
          <w:rFonts w:ascii="Times New Roman" w:hAnsi="Times New Roman" w:cs="Times New Roman"/>
          <w:sz w:val="24"/>
          <w:szCs w:val="24"/>
        </w:rPr>
        <w:t xml:space="preserve"> Bu şekilde bir büyüklük, eş zamanlı olarak diüretik alan hastalardaki flukonazol doz rejiminde bir değişimi gerekli kılmaz.</w:t>
      </w:r>
    </w:p>
    <w:p w14:paraId="490508C7" w14:textId="77777777" w:rsidR="00B31684" w:rsidRPr="006A316D" w:rsidRDefault="00B31684" w:rsidP="00CA7DA5">
      <w:pPr>
        <w:spacing w:after="0" w:line="240" w:lineRule="auto"/>
        <w:ind w:left="284"/>
        <w:jc w:val="both"/>
        <w:rPr>
          <w:rFonts w:ascii="Times New Roman" w:hAnsi="Times New Roman" w:cs="Times New Roman"/>
          <w:b/>
          <w:bCs/>
          <w:sz w:val="24"/>
          <w:szCs w:val="24"/>
        </w:rPr>
      </w:pPr>
    </w:p>
    <w:p w14:paraId="612E9A20" w14:textId="77777777" w:rsidR="00ED2805" w:rsidRPr="006A316D" w:rsidRDefault="00ED2805" w:rsidP="00CA7DA5">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Flukonazolün diğer tıbbi ürünler üzerine etkisi</w:t>
      </w:r>
    </w:p>
    <w:p w14:paraId="53DBA3AD" w14:textId="77777777" w:rsidR="00ED2805" w:rsidRPr="006A316D" w:rsidRDefault="00ED2805" w:rsidP="00A3678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sitokrom P450 (CYP) 2C9 izoenziminin potent inhibitörü ve CYP3A4</w:t>
      </w:r>
      <w:r w:rsidR="00D5405B" w:rsidRPr="006A316D">
        <w:rPr>
          <w:rFonts w:ascii="Times New Roman" w:hAnsi="Times New Roman" w:cs="Times New Roman"/>
          <w:sz w:val="24"/>
          <w:szCs w:val="24"/>
        </w:rPr>
        <w:t>’ün orta düzeyde</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inhibitörü</w:t>
      </w:r>
      <w:r w:rsidR="00E0744A" w:rsidRPr="006A316D">
        <w:rPr>
          <w:rFonts w:ascii="Times New Roman" w:hAnsi="Times New Roman" w:cs="Times New Roman"/>
          <w:sz w:val="24"/>
          <w:szCs w:val="24"/>
        </w:rPr>
        <w:t>dür.</w:t>
      </w:r>
      <w:r w:rsidR="00D72A1B" w:rsidRPr="006A316D">
        <w:rPr>
          <w:rFonts w:ascii="Times New Roman" w:hAnsi="Times New Roman" w:cs="Times New Roman"/>
          <w:sz w:val="24"/>
          <w:szCs w:val="24"/>
        </w:rPr>
        <w:t xml:space="preserve"> </w:t>
      </w:r>
      <w:bookmarkStart w:id="1" w:name="_Hlk67477942"/>
      <w:r w:rsidR="00D72A1B" w:rsidRPr="006A316D">
        <w:rPr>
          <w:rFonts w:ascii="Times New Roman" w:hAnsi="Times New Roman" w:cs="Times New Roman"/>
          <w:sz w:val="24"/>
          <w:szCs w:val="24"/>
        </w:rPr>
        <w:t>Flukanazol aynı zamanda CYP2C19 izoenziminin güçlü bir inhibitörütür</w:t>
      </w:r>
      <w:bookmarkEnd w:id="1"/>
      <w:r w:rsidR="00D72A1B" w:rsidRPr="006A316D">
        <w:rPr>
          <w:rFonts w:ascii="Times New Roman" w:hAnsi="Times New Roman" w:cs="Times New Roman"/>
          <w:sz w:val="24"/>
          <w:szCs w:val="24"/>
        </w:rPr>
        <w:t>.</w:t>
      </w:r>
      <w:r w:rsidRPr="006A316D">
        <w:rPr>
          <w:rFonts w:ascii="Times New Roman" w:hAnsi="Times New Roman" w:cs="Times New Roman"/>
          <w:sz w:val="24"/>
          <w:szCs w:val="24"/>
        </w:rPr>
        <w:t xml:space="preserve"> Aşağıda açıklanan gözlenmiş/belgelenmiş etkileşimlere ek olarak, flukonazolle</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birlikte uygulanan ve CYP2C9</w:t>
      </w:r>
      <w:r w:rsidR="00461C6F" w:rsidRPr="006A316D">
        <w:rPr>
          <w:rFonts w:ascii="Times New Roman" w:hAnsi="Times New Roman" w:cs="Times New Roman"/>
          <w:sz w:val="24"/>
          <w:szCs w:val="24"/>
        </w:rPr>
        <w:t>, CYP2C19</w:t>
      </w:r>
      <w:r w:rsidRPr="006A316D">
        <w:rPr>
          <w:rFonts w:ascii="Times New Roman" w:hAnsi="Times New Roman" w:cs="Times New Roman"/>
          <w:sz w:val="24"/>
          <w:szCs w:val="24"/>
        </w:rPr>
        <w:t xml:space="preserve"> ve CYP3A4 tarafından metabolize edilen diğer bileşiklerin</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plazma konsantrasyonunda artış riski mevcuttur. Bu nedenle, bu kombinasyonları kullanırken</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dikkatli olunmalı ve hastalar dikkatlice izlenmelidir. Flukonazolün enzimi inhibe etme etkisi,</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flukonazolün uzun yarı ömrü nedeniyle flukonazol tedavisinin kesilmesinden sonra 4-5 gün</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devam eder (</w:t>
      </w:r>
      <w:r w:rsidR="00316229" w:rsidRPr="006A316D">
        <w:rPr>
          <w:rFonts w:ascii="Times New Roman" w:hAnsi="Times New Roman" w:cs="Times New Roman"/>
          <w:sz w:val="24"/>
          <w:szCs w:val="24"/>
        </w:rPr>
        <w:t>B</w:t>
      </w:r>
      <w:r w:rsidRPr="006A316D">
        <w:rPr>
          <w:rFonts w:ascii="Times New Roman" w:hAnsi="Times New Roman" w:cs="Times New Roman"/>
          <w:sz w:val="24"/>
          <w:szCs w:val="24"/>
        </w:rPr>
        <w:t xml:space="preserve">kz. </w:t>
      </w:r>
      <w:r w:rsidR="00552D4C" w:rsidRPr="006A316D">
        <w:rPr>
          <w:rFonts w:ascii="Times New Roman" w:hAnsi="Times New Roman" w:cs="Times New Roman"/>
          <w:sz w:val="24"/>
          <w:szCs w:val="24"/>
        </w:rPr>
        <w:t>B</w:t>
      </w:r>
      <w:r w:rsidRPr="006A316D">
        <w:rPr>
          <w:rFonts w:ascii="Times New Roman" w:hAnsi="Times New Roman" w:cs="Times New Roman"/>
          <w:sz w:val="24"/>
          <w:szCs w:val="24"/>
        </w:rPr>
        <w:t>ölüm 4.3).</w:t>
      </w:r>
    </w:p>
    <w:p w14:paraId="2C230CD3" w14:textId="77777777" w:rsidR="007457A2" w:rsidRPr="006A316D" w:rsidRDefault="007457A2" w:rsidP="00A3678C">
      <w:pPr>
        <w:spacing w:after="0" w:line="240" w:lineRule="auto"/>
        <w:ind w:left="284"/>
        <w:jc w:val="both"/>
        <w:rPr>
          <w:rFonts w:ascii="Times New Roman" w:hAnsi="Times New Roman" w:cs="Times New Roman"/>
          <w:sz w:val="24"/>
          <w:szCs w:val="24"/>
        </w:rPr>
      </w:pPr>
    </w:p>
    <w:p w14:paraId="57AFC07C" w14:textId="77777777" w:rsidR="00AC237F" w:rsidRPr="006A316D" w:rsidRDefault="00ED2805" w:rsidP="00AC237F">
      <w:pPr>
        <w:spacing w:after="0" w:line="240" w:lineRule="auto"/>
        <w:ind w:left="284"/>
        <w:jc w:val="both"/>
        <w:rPr>
          <w:rFonts w:ascii="Times New Roman" w:hAnsi="Times New Roman" w:cs="Times New Roman"/>
          <w:strike/>
          <w:sz w:val="24"/>
          <w:szCs w:val="24"/>
        </w:rPr>
      </w:pPr>
      <w:r w:rsidRPr="006A316D">
        <w:rPr>
          <w:rFonts w:ascii="Times New Roman" w:hAnsi="Times New Roman" w:cs="Times New Roman"/>
          <w:b/>
          <w:bCs/>
          <w:sz w:val="24"/>
          <w:szCs w:val="24"/>
        </w:rPr>
        <w:t>Alfentanil:</w:t>
      </w:r>
    </w:p>
    <w:p w14:paraId="0C7839FB" w14:textId="77777777" w:rsidR="00ED2805" w:rsidRPr="006A316D" w:rsidRDefault="00461C6F" w:rsidP="00AC237F">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Flukonazol (400 mg) ve intravenöz alfentanilin (20 </w:t>
      </w:r>
      <w:r w:rsidR="00316229" w:rsidRPr="006A316D">
        <w:rPr>
          <w:rFonts w:ascii="Times New Roman" w:hAnsi="Times New Roman" w:cs="Times New Roman"/>
          <w:sz w:val="24"/>
          <w:szCs w:val="24"/>
        </w:rPr>
        <w:t>mcg</w:t>
      </w:r>
      <w:r w:rsidRPr="006A316D">
        <w:rPr>
          <w:rFonts w:ascii="Times New Roman" w:hAnsi="Times New Roman" w:cs="Times New Roman"/>
          <w:sz w:val="24"/>
          <w:szCs w:val="24"/>
        </w:rPr>
        <w:t>/kg) sağlıklı gönüllülerde birlikte kullanıldığı bir çalışmada, alfentanilin EAA</w:t>
      </w:r>
      <w:r w:rsidRPr="006A316D">
        <w:rPr>
          <w:rFonts w:ascii="Times New Roman" w:hAnsi="Times New Roman" w:cs="Times New Roman"/>
          <w:sz w:val="24"/>
          <w:szCs w:val="24"/>
          <w:vertAlign w:val="subscript"/>
        </w:rPr>
        <w:t>10</w:t>
      </w:r>
      <w:r w:rsidRPr="006A316D">
        <w:rPr>
          <w:rFonts w:ascii="Times New Roman" w:hAnsi="Times New Roman" w:cs="Times New Roman"/>
          <w:sz w:val="24"/>
          <w:szCs w:val="24"/>
        </w:rPr>
        <w:t xml:space="preserve">’sı 2 kat artmıştır. </w:t>
      </w:r>
      <w:r w:rsidR="00ED2805" w:rsidRPr="006A316D">
        <w:rPr>
          <w:rFonts w:ascii="Times New Roman" w:hAnsi="Times New Roman" w:cs="Times New Roman"/>
          <w:sz w:val="24"/>
          <w:szCs w:val="24"/>
        </w:rPr>
        <w:t>Olası etki mekanizması,</w:t>
      </w:r>
      <w:r w:rsidR="00360C93" w:rsidRPr="006A316D">
        <w:rPr>
          <w:rFonts w:ascii="Times New Roman" w:hAnsi="Times New Roman" w:cs="Times New Roman"/>
          <w:sz w:val="24"/>
          <w:szCs w:val="24"/>
        </w:rPr>
        <w:t xml:space="preserve"> </w:t>
      </w:r>
      <w:r w:rsidR="00ED2805" w:rsidRPr="006A316D">
        <w:rPr>
          <w:rFonts w:ascii="Times New Roman" w:hAnsi="Times New Roman" w:cs="Times New Roman"/>
          <w:sz w:val="24"/>
          <w:szCs w:val="24"/>
        </w:rPr>
        <w:t>flukonazolün CYP3A4’ü inhibe etmesidir. Alfentanilin dozunun ayarlanması gerekebilir.</w:t>
      </w:r>
    </w:p>
    <w:p w14:paraId="7B54F8FE" w14:textId="1C7928F7" w:rsidR="00ED2805" w:rsidRPr="006A316D" w:rsidRDefault="00ED2805" w:rsidP="00A3678C">
      <w:pPr>
        <w:spacing w:after="0" w:line="240" w:lineRule="auto"/>
        <w:ind w:left="284"/>
        <w:jc w:val="both"/>
        <w:rPr>
          <w:rFonts w:ascii="Times New Roman" w:hAnsi="Times New Roman" w:cs="Times New Roman"/>
          <w:sz w:val="24"/>
          <w:szCs w:val="24"/>
        </w:rPr>
      </w:pPr>
    </w:p>
    <w:p w14:paraId="6F25481F" w14:textId="77777777" w:rsidR="00F22692" w:rsidRPr="006A316D" w:rsidRDefault="00F22692" w:rsidP="00A3678C">
      <w:pPr>
        <w:spacing w:after="0" w:line="240" w:lineRule="auto"/>
        <w:ind w:left="284"/>
        <w:jc w:val="both"/>
        <w:rPr>
          <w:rFonts w:ascii="Times New Roman" w:hAnsi="Times New Roman" w:cs="Times New Roman"/>
          <w:sz w:val="24"/>
          <w:szCs w:val="24"/>
        </w:rPr>
      </w:pPr>
    </w:p>
    <w:p w14:paraId="05E12BED" w14:textId="77777777" w:rsidR="00ED2805" w:rsidRPr="006A316D" w:rsidRDefault="00ED2805" w:rsidP="00A3678C">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lastRenderedPageBreak/>
        <w:t>Amitriptilin, nortriptilin:</w:t>
      </w:r>
    </w:p>
    <w:p w14:paraId="2A5EDC1F" w14:textId="77777777" w:rsidR="00ED2805" w:rsidRPr="006A316D" w:rsidRDefault="00ED2805" w:rsidP="00A3678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amitriptilin ve nortriptilinin etkisini artırır. 5-nortriptilin ve/veya S-amitriptilin,</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kombinasyon tedavisinin başlangıcında ve bir hafta sonra ölçülebilir. Amitriptilin/nortriptilin</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dozajı gerekirse ayarlanmalıdır.</w:t>
      </w:r>
    </w:p>
    <w:p w14:paraId="142F4D82" w14:textId="77777777" w:rsidR="00ED2805" w:rsidRPr="006A316D" w:rsidRDefault="00ED2805" w:rsidP="00A3678C">
      <w:pPr>
        <w:spacing w:after="0" w:line="240" w:lineRule="auto"/>
        <w:ind w:left="284"/>
        <w:jc w:val="both"/>
        <w:rPr>
          <w:rFonts w:ascii="Times New Roman" w:hAnsi="Times New Roman" w:cs="Times New Roman"/>
          <w:sz w:val="24"/>
          <w:szCs w:val="24"/>
        </w:rPr>
      </w:pPr>
    </w:p>
    <w:p w14:paraId="75BD2933" w14:textId="77777777" w:rsidR="00ED2805" w:rsidRPr="006A316D" w:rsidRDefault="00ED2805" w:rsidP="00A3678C">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Amfoterisin B:</w:t>
      </w:r>
    </w:p>
    <w:p w14:paraId="74E27379" w14:textId="77777777" w:rsidR="00ED2805" w:rsidRPr="006A316D" w:rsidRDefault="00ED2805" w:rsidP="00A3678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Flukonazol </w:t>
      </w:r>
      <w:r w:rsidR="000301FE" w:rsidRPr="006A316D">
        <w:rPr>
          <w:rFonts w:ascii="Times New Roman" w:hAnsi="Times New Roman" w:cs="Times New Roman"/>
          <w:sz w:val="24"/>
          <w:szCs w:val="24"/>
        </w:rPr>
        <w:t>ile</w:t>
      </w:r>
      <w:r w:rsidRPr="006A316D">
        <w:rPr>
          <w:rFonts w:ascii="Times New Roman" w:hAnsi="Times New Roman" w:cs="Times New Roman"/>
          <w:sz w:val="24"/>
          <w:szCs w:val="24"/>
        </w:rPr>
        <w:t xml:space="preserve"> amfoterisin B’nin enfekte, normal ve bağışıklığı zayıflatılmış farelerde</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eş</w:t>
      </w:r>
      <w:r w:rsidR="000301FE" w:rsidRPr="006A316D">
        <w:rPr>
          <w:rFonts w:ascii="Times New Roman" w:hAnsi="Times New Roman" w:cs="Times New Roman"/>
          <w:sz w:val="24"/>
          <w:szCs w:val="24"/>
        </w:rPr>
        <w:t xml:space="preserve"> </w:t>
      </w:r>
      <w:r w:rsidRPr="006A316D">
        <w:rPr>
          <w:rFonts w:ascii="Times New Roman" w:hAnsi="Times New Roman" w:cs="Times New Roman"/>
          <w:sz w:val="24"/>
          <w:szCs w:val="24"/>
        </w:rPr>
        <w:t>zamanlı uygulaması, şu sonuçları göstermiştir:</w:t>
      </w:r>
      <w:r w:rsidR="00D72A1B" w:rsidRPr="006A316D">
        <w:rPr>
          <w:rFonts w:ascii="Times New Roman" w:hAnsi="Times New Roman" w:cs="Times New Roman"/>
          <w:sz w:val="24"/>
          <w:szCs w:val="24"/>
        </w:rPr>
        <w:t xml:space="preserve"> </w:t>
      </w:r>
      <w:r w:rsidRPr="006A316D">
        <w:rPr>
          <w:rFonts w:ascii="Times New Roman" w:hAnsi="Times New Roman" w:cs="Times New Roman"/>
          <w:i/>
          <w:iCs/>
          <w:sz w:val="24"/>
          <w:szCs w:val="24"/>
        </w:rPr>
        <w:t>C. albicans</w:t>
      </w:r>
      <w:r w:rsidRPr="006A316D">
        <w:rPr>
          <w:rFonts w:ascii="Times New Roman" w:hAnsi="Times New Roman" w:cs="Times New Roman"/>
          <w:sz w:val="24"/>
          <w:szCs w:val="24"/>
        </w:rPr>
        <w:t xml:space="preserve"> </w:t>
      </w:r>
      <w:r w:rsidR="00D72A1B" w:rsidRPr="006A316D">
        <w:rPr>
          <w:rFonts w:ascii="Times New Roman" w:hAnsi="Times New Roman" w:cs="Times New Roman"/>
          <w:sz w:val="24"/>
          <w:szCs w:val="24"/>
        </w:rPr>
        <w:t xml:space="preserve">ile sistemik </w:t>
      </w:r>
      <w:r w:rsidRPr="006A316D">
        <w:rPr>
          <w:rFonts w:ascii="Times New Roman" w:hAnsi="Times New Roman" w:cs="Times New Roman"/>
          <w:sz w:val="24"/>
          <w:szCs w:val="24"/>
        </w:rPr>
        <w:t>enfeksiyo</w:t>
      </w:r>
      <w:r w:rsidR="000301FE" w:rsidRPr="006A316D">
        <w:rPr>
          <w:rFonts w:ascii="Times New Roman" w:hAnsi="Times New Roman" w:cs="Times New Roman"/>
          <w:sz w:val="24"/>
          <w:szCs w:val="24"/>
        </w:rPr>
        <w:t>n</w:t>
      </w:r>
      <w:r w:rsidRPr="006A316D">
        <w:rPr>
          <w:rFonts w:ascii="Times New Roman" w:hAnsi="Times New Roman" w:cs="Times New Roman"/>
          <w:sz w:val="24"/>
          <w:szCs w:val="24"/>
        </w:rPr>
        <w:t>da küçük</w:t>
      </w:r>
      <w:r w:rsidR="00D72A1B" w:rsidRPr="006A316D">
        <w:rPr>
          <w:rFonts w:ascii="Times New Roman" w:hAnsi="Times New Roman" w:cs="Times New Roman"/>
          <w:sz w:val="24"/>
          <w:szCs w:val="24"/>
        </w:rPr>
        <w:t>,</w:t>
      </w:r>
      <w:r w:rsidR="00360C93" w:rsidRPr="006A316D">
        <w:rPr>
          <w:rFonts w:ascii="Times New Roman" w:hAnsi="Times New Roman" w:cs="Times New Roman"/>
          <w:sz w:val="24"/>
          <w:szCs w:val="24"/>
        </w:rPr>
        <w:t xml:space="preserve"> </w:t>
      </w:r>
      <w:r w:rsidR="00316229" w:rsidRPr="006A316D">
        <w:rPr>
          <w:rFonts w:ascii="Times New Roman" w:hAnsi="Times New Roman" w:cs="Times New Roman"/>
          <w:sz w:val="24"/>
          <w:szCs w:val="24"/>
        </w:rPr>
        <w:t>ek</w:t>
      </w:r>
      <w:r w:rsidRPr="006A316D">
        <w:rPr>
          <w:rFonts w:ascii="Times New Roman" w:hAnsi="Times New Roman" w:cs="Times New Roman"/>
          <w:sz w:val="24"/>
          <w:szCs w:val="24"/>
        </w:rPr>
        <w:t xml:space="preserve"> antifungal etki, </w:t>
      </w:r>
      <w:r w:rsidRPr="006A316D">
        <w:rPr>
          <w:rFonts w:ascii="Times New Roman" w:hAnsi="Times New Roman" w:cs="Times New Roman"/>
          <w:i/>
          <w:iCs/>
          <w:sz w:val="24"/>
          <w:szCs w:val="24"/>
        </w:rPr>
        <w:t>Cryptococcus neoformans</w:t>
      </w:r>
      <w:r w:rsidRPr="006A316D">
        <w:rPr>
          <w:rFonts w:ascii="Times New Roman" w:hAnsi="Times New Roman" w:cs="Times New Roman"/>
          <w:sz w:val="24"/>
          <w:szCs w:val="24"/>
        </w:rPr>
        <w:t xml:space="preserve"> ile intrakranial enfeksiyonda etkileşim olmaması</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 xml:space="preserve">ve </w:t>
      </w:r>
      <w:r w:rsidR="00316229" w:rsidRPr="006A316D">
        <w:rPr>
          <w:i/>
          <w:iCs/>
          <w:sz w:val="23"/>
          <w:szCs w:val="23"/>
        </w:rPr>
        <w:t>Aspergillus</w:t>
      </w:r>
      <w:r w:rsidRPr="006A316D">
        <w:rPr>
          <w:rFonts w:ascii="Times New Roman" w:hAnsi="Times New Roman" w:cs="Times New Roman"/>
          <w:i/>
          <w:iCs/>
          <w:sz w:val="24"/>
          <w:szCs w:val="24"/>
        </w:rPr>
        <w:t>. Fumigatus</w:t>
      </w:r>
      <w:r w:rsidRPr="006A316D">
        <w:rPr>
          <w:rFonts w:ascii="Times New Roman" w:hAnsi="Times New Roman" w:cs="Times New Roman"/>
          <w:sz w:val="24"/>
          <w:szCs w:val="24"/>
        </w:rPr>
        <w:t xml:space="preserve"> ile sistemik enfeksiyonda iki ilacın antagonizmi. Bu çalışmalarda elde edilen</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sonuçların klinik</w:t>
      </w:r>
      <w:r w:rsidR="000301FE" w:rsidRPr="006A316D">
        <w:rPr>
          <w:rFonts w:ascii="Times New Roman" w:hAnsi="Times New Roman" w:cs="Times New Roman"/>
          <w:sz w:val="24"/>
          <w:szCs w:val="24"/>
        </w:rPr>
        <w:t xml:space="preserve"> anlamlılığı</w:t>
      </w:r>
      <w:r w:rsidRPr="006A316D">
        <w:rPr>
          <w:rFonts w:ascii="Times New Roman" w:hAnsi="Times New Roman" w:cs="Times New Roman"/>
          <w:sz w:val="24"/>
          <w:szCs w:val="24"/>
        </w:rPr>
        <w:t xml:space="preserve"> bilinmemektedir.</w:t>
      </w:r>
    </w:p>
    <w:p w14:paraId="2E74E32B" w14:textId="77777777" w:rsidR="00ED2805" w:rsidRPr="006A316D" w:rsidRDefault="00ED2805" w:rsidP="00A3678C">
      <w:pPr>
        <w:spacing w:after="0" w:line="240" w:lineRule="auto"/>
        <w:ind w:left="284"/>
        <w:jc w:val="both"/>
        <w:rPr>
          <w:rFonts w:ascii="Times New Roman" w:hAnsi="Times New Roman" w:cs="Times New Roman"/>
          <w:sz w:val="24"/>
          <w:szCs w:val="24"/>
        </w:rPr>
      </w:pPr>
    </w:p>
    <w:p w14:paraId="553BA5FD" w14:textId="77777777" w:rsidR="00243AF5" w:rsidRPr="006A316D" w:rsidRDefault="00243AF5" w:rsidP="00A3678C">
      <w:pPr>
        <w:spacing w:after="0" w:line="240" w:lineRule="auto"/>
        <w:ind w:left="284"/>
        <w:jc w:val="both"/>
        <w:rPr>
          <w:rFonts w:ascii="Times New Roman" w:hAnsi="Times New Roman" w:cs="Times New Roman"/>
          <w:sz w:val="24"/>
          <w:szCs w:val="24"/>
        </w:rPr>
      </w:pPr>
    </w:p>
    <w:p w14:paraId="6C5BABAE" w14:textId="77777777" w:rsidR="00ED2805" w:rsidRPr="006A316D" w:rsidRDefault="00ED2805" w:rsidP="00A3678C">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Antikoag</w:t>
      </w:r>
      <w:r w:rsidR="00316229" w:rsidRPr="006A316D">
        <w:rPr>
          <w:rFonts w:ascii="Times New Roman" w:hAnsi="Times New Roman" w:cs="Times New Roman"/>
          <w:b/>
          <w:bCs/>
          <w:sz w:val="24"/>
          <w:szCs w:val="24"/>
        </w:rPr>
        <w:t>ü</w:t>
      </w:r>
      <w:r w:rsidRPr="006A316D">
        <w:rPr>
          <w:rFonts w:ascii="Times New Roman" w:hAnsi="Times New Roman" w:cs="Times New Roman"/>
          <w:b/>
          <w:bCs/>
          <w:sz w:val="24"/>
          <w:szCs w:val="24"/>
        </w:rPr>
        <w:t>lanlar:</w:t>
      </w:r>
    </w:p>
    <w:p w14:paraId="13D62B13" w14:textId="77777777" w:rsidR="00ED2805" w:rsidRPr="006A316D" w:rsidRDefault="00ED2805" w:rsidP="00A3678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Pazarlama sonrası deneyimde, diğer azol</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antifungallerinde olduğu gibi, flukonazol ve varfarinin birlikte kullanımında, protrombin</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zamanının uzamasıyla ilişkili olarak kanama olayları (çürükler, epistaksis, gastrointestinal</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kanama, hematüri ve melena) bildirilmiştir.</w:t>
      </w:r>
      <w:r w:rsidR="00176030" w:rsidRPr="006A316D">
        <w:rPr>
          <w:rFonts w:ascii="Times New Roman" w:hAnsi="Times New Roman" w:cs="Times New Roman"/>
          <w:sz w:val="24"/>
          <w:szCs w:val="24"/>
        </w:rPr>
        <w:t xml:space="preserve"> Flukonazol ve varfarinin beraber kullanıldığı durumlarda muhtemelen varfarin metabolizmasının CYP2C9 ile inhibisyonundan dolayı, protrombin zamanı 2 kata kadar artmıştır.</w:t>
      </w:r>
      <w:r w:rsidRPr="006A316D">
        <w:rPr>
          <w:rFonts w:ascii="Times New Roman" w:hAnsi="Times New Roman" w:cs="Times New Roman"/>
          <w:sz w:val="24"/>
          <w:szCs w:val="24"/>
        </w:rPr>
        <w:t xml:space="preserve"> Kumarin tipi</w:t>
      </w:r>
      <w:r w:rsidR="00176030" w:rsidRPr="006A316D">
        <w:rPr>
          <w:rFonts w:ascii="Times New Roman" w:hAnsi="Times New Roman" w:cs="Times New Roman"/>
          <w:sz w:val="24"/>
          <w:szCs w:val="24"/>
        </w:rPr>
        <w:t xml:space="preserve"> </w:t>
      </w:r>
      <w:r w:rsidR="00552D4C" w:rsidRPr="006A316D">
        <w:rPr>
          <w:rFonts w:ascii="Times New Roman" w:hAnsi="Times New Roman" w:cs="Times New Roman"/>
          <w:sz w:val="24"/>
          <w:szCs w:val="24"/>
        </w:rPr>
        <w:t xml:space="preserve">veya </w:t>
      </w:r>
      <w:r w:rsidR="00176030" w:rsidRPr="006A316D">
        <w:rPr>
          <w:rFonts w:ascii="Times New Roman" w:hAnsi="Times New Roman" w:cs="Times New Roman"/>
          <w:sz w:val="24"/>
          <w:szCs w:val="24"/>
        </w:rPr>
        <w:t>indandion</w:t>
      </w:r>
      <w:r w:rsidRPr="006A316D">
        <w:rPr>
          <w:rFonts w:ascii="Times New Roman" w:hAnsi="Times New Roman" w:cs="Times New Roman"/>
          <w:sz w:val="24"/>
          <w:szCs w:val="24"/>
        </w:rPr>
        <w:t xml:space="preserve"> antikoagu</w:t>
      </w:r>
      <w:r w:rsidR="006F0089" w:rsidRPr="006A316D">
        <w:rPr>
          <w:rFonts w:ascii="Times New Roman" w:hAnsi="Times New Roman" w:cs="Times New Roman"/>
          <w:sz w:val="24"/>
          <w:szCs w:val="24"/>
        </w:rPr>
        <w:t>lan</w:t>
      </w:r>
      <w:r w:rsidRPr="006A316D">
        <w:rPr>
          <w:rFonts w:ascii="Times New Roman" w:hAnsi="Times New Roman" w:cs="Times New Roman"/>
          <w:sz w:val="24"/>
          <w:szCs w:val="24"/>
        </w:rPr>
        <w:t>la</w:t>
      </w:r>
      <w:r w:rsidR="00552D4C" w:rsidRPr="006A316D">
        <w:rPr>
          <w:rFonts w:ascii="Times New Roman" w:hAnsi="Times New Roman" w:cs="Times New Roman"/>
          <w:sz w:val="24"/>
          <w:szCs w:val="24"/>
        </w:rPr>
        <w:t>rı</w:t>
      </w:r>
      <w:r w:rsidRPr="006A316D">
        <w:rPr>
          <w:rFonts w:ascii="Times New Roman" w:hAnsi="Times New Roman" w:cs="Times New Roman"/>
          <w:sz w:val="24"/>
          <w:szCs w:val="24"/>
        </w:rPr>
        <w:t xml:space="preserve"> alan hastalarda</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protrombin zamanı dikkatlice takip edilmelidir.</w:t>
      </w:r>
      <w:r w:rsidR="00176030" w:rsidRPr="006A316D">
        <w:rPr>
          <w:rFonts w:ascii="Times New Roman" w:hAnsi="Times New Roman" w:cs="Times New Roman"/>
          <w:sz w:val="24"/>
          <w:szCs w:val="24"/>
        </w:rPr>
        <w:t xml:space="preserve"> Antikoagüla</w:t>
      </w:r>
      <w:r w:rsidR="00552D4C" w:rsidRPr="006A316D">
        <w:rPr>
          <w:rFonts w:ascii="Times New Roman" w:hAnsi="Times New Roman" w:cs="Times New Roman"/>
          <w:sz w:val="24"/>
          <w:szCs w:val="24"/>
        </w:rPr>
        <w:t>nın</w:t>
      </w:r>
      <w:r w:rsidRPr="006A316D">
        <w:rPr>
          <w:rFonts w:ascii="Times New Roman" w:hAnsi="Times New Roman" w:cs="Times New Roman"/>
          <w:sz w:val="24"/>
          <w:szCs w:val="24"/>
        </w:rPr>
        <w:t xml:space="preserve"> dozunun ayarlanması gerekli</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olabilir.</w:t>
      </w:r>
    </w:p>
    <w:p w14:paraId="1A3F2AEE" w14:textId="77777777" w:rsidR="00176030" w:rsidRPr="006A316D" w:rsidRDefault="00176030" w:rsidP="00176030">
      <w:pPr>
        <w:spacing w:after="0" w:line="240" w:lineRule="auto"/>
        <w:ind w:left="284"/>
        <w:jc w:val="both"/>
        <w:rPr>
          <w:rFonts w:ascii="Times New Roman" w:hAnsi="Times New Roman" w:cs="Times New Roman"/>
          <w:b/>
          <w:bCs/>
          <w:sz w:val="24"/>
          <w:szCs w:val="24"/>
        </w:rPr>
      </w:pPr>
    </w:p>
    <w:p w14:paraId="045EBAB1" w14:textId="77777777" w:rsidR="00176030" w:rsidRPr="006A316D" w:rsidRDefault="00176030" w:rsidP="00176030">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Benzodiazepinler (</w:t>
      </w:r>
      <w:r w:rsidR="00D72A1B" w:rsidRPr="006A316D">
        <w:rPr>
          <w:rFonts w:ascii="Times New Roman" w:hAnsi="Times New Roman" w:cs="Times New Roman"/>
          <w:b/>
          <w:bCs/>
          <w:sz w:val="24"/>
          <w:szCs w:val="24"/>
        </w:rPr>
        <w:t>k</w:t>
      </w:r>
      <w:r w:rsidRPr="006A316D">
        <w:rPr>
          <w:rFonts w:ascii="Times New Roman" w:hAnsi="Times New Roman" w:cs="Times New Roman"/>
          <w:b/>
          <w:bCs/>
          <w:sz w:val="24"/>
          <w:szCs w:val="24"/>
        </w:rPr>
        <w:t>ısa etkili)</w:t>
      </w:r>
      <w:r w:rsidR="00316229" w:rsidRPr="006A316D">
        <w:rPr>
          <w:rFonts w:ascii="Times New Roman" w:hAnsi="Times New Roman" w:cs="Times New Roman"/>
          <w:b/>
          <w:bCs/>
          <w:sz w:val="24"/>
          <w:szCs w:val="24"/>
        </w:rPr>
        <w:t xml:space="preserve"> </w:t>
      </w:r>
      <w:r w:rsidR="00316229" w:rsidRPr="006A316D">
        <w:rPr>
          <w:rFonts w:ascii="Times New Roman" w:hAnsi="Times New Roman" w:cs="Times New Roman"/>
          <w:sz w:val="24"/>
          <w:szCs w:val="24"/>
        </w:rPr>
        <w:t>(</w:t>
      </w:r>
      <w:r w:rsidR="00316229" w:rsidRPr="006A316D">
        <w:rPr>
          <w:rFonts w:ascii="Times New Roman" w:hAnsi="Times New Roman" w:cs="Times New Roman"/>
          <w:b/>
          <w:bCs/>
          <w:sz w:val="24"/>
          <w:szCs w:val="24"/>
        </w:rPr>
        <w:t>midazolam, triazolam gibi)</w:t>
      </w:r>
      <w:r w:rsidRPr="006A316D">
        <w:rPr>
          <w:rFonts w:ascii="Times New Roman" w:hAnsi="Times New Roman" w:cs="Times New Roman"/>
          <w:b/>
          <w:bCs/>
          <w:sz w:val="24"/>
          <w:szCs w:val="24"/>
        </w:rPr>
        <w:t>:</w:t>
      </w:r>
    </w:p>
    <w:p w14:paraId="412CBDB1" w14:textId="77777777" w:rsidR="00176030" w:rsidRPr="006A316D" w:rsidRDefault="00176030" w:rsidP="00176030">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Midazolamın oral uygulamasını takiben, flukonazol, midazolam konsantrasyonunda ve psikomotor etkilerinde belirgin bir artışa yol açmıştır. Oral olarak flukonazol 200 mg ve midazolam 7,5 mg’in birlikte alınması EAA ve yarılanma ömrünü sırasıyla 3,7 kat ve 2,2 kat arttırmıştır. Günlük olarak 200 mg Flukonazol ve 0,25 mg triazolamın oral yoldan eş zamanlı verilmesi EAA ve yarılanma ömrünü sırasıyla 4,4 kat ve 2,3 kat ar</w:t>
      </w:r>
      <w:r w:rsidR="00D72A1B" w:rsidRPr="006A316D">
        <w:rPr>
          <w:rFonts w:ascii="Times New Roman" w:hAnsi="Times New Roman" w:cs="Times New Roman"/>
          <w:sz w:val="24"/>
          <w:szCs w:val="24"/>
        </w:rPr>
        <w:t>t</w:t>
      </w:r>
      <w:r w:rsidRPr="006A316D">
        <w:rPr>
          <w:rFonts w:ascii="Times New Roman" w:hAnsi="Times New Roman" w:cs="Times New Roman"/>
          <w:sz w:val="24"/>
          <w:szCs w:val="24"/>
        </w:rPr>
        <w:t>tırmıştır. Flukonazol ile birlikte uygulandığında triazolam etkisinde uzama ve artış görülmüştür. Flukonazol ile tedavi edilen hastalarda, beraberinde benzodiazepin tedavisi gerekliyse, benzodiazepin dozunun azaltılması düşünülmeli ve hastalar uygun şekilde izlenmelidir.</w:t>
      </w:r>
    </w:p>
    <w:p w14:paraId="6C75FB47" w14:textId="77777777" w:rsidR="00176030" w:rsidRPr="006A316D" w:rsidRDefault="00176030" w:rsidP="00176030">
      <w:pPr>
        <w:spacing w:after="0" w:line="240" w:lineRule="auto"/>
        <w:ind w:left="284"/>
        <w:jc w:val="both"/>
        <w:rPr>
          <w:rFonts w:ascii="Times New Roman" w:hAnsi="Times New Roman" w:cs="Times New Roman"/>
          <w:sz w:val="24"/>
          <w:szCs w:val="24"/>
        </w:rPr>
      </w:pPr>
    </w:p>
    <w:p w14:paraId="0535B3AE" w14:textId="77777777" w:rsidR="00243AF5" w:rsidRPr="006A316D" w:rsidRDefault="00243AF5" w:rsidP="00176030">
      <w:pPr>
        <w:spacing w:after="0" w:line="240" w:lineRule="auto"/>
        <w:ind w:left="284"/>
        <w:jc w:val="both"/>
        <w:rPr>
          <w:rFonts w:ascii="Times New Roman" w:hAnsi="Times New Roman" w:cs="Times New Roman"/>
          <w:strike/>
          <w:sz w:val="24"/>
          <w:szCs w:val="24"/>
        </w:rPr>
      </w:pPr>
    </w:p>
    <w:p w14:paraId="783AC870" w14:textId="77777777" w:rsidR="007C3E3D" w:rsidRPr="006A316D" w:rsidRDefault="007C3E3D" w:rsidP="007C3E3D">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Karbamazepin</w:t>
      </w:r>
      <w:r w:rsidRPr="006A316D">
        <w:rPr>
          <w:rFonts w:ascii="Times New Roman" w:hAnsi="Times New Roman" w:cs="Times New Roman"/>
          <w:sz w:val="24"/>
          <w:szCs w:val="24"/>
        </w:rPr>
        <w:t>:</w:t>
      </w:r>
    </w:p>
    <w:p w14:paraId="022873AB" w14:textId="77777777" w:rsidR="007C3E3D" w:rsidRPr="006A316D" w:rsidRDefault="007C3E3D" w:rsidP="007C3E3D">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karbamazepinin metabolizmasını inhibe eder; serum karbamazepininde %30’luk bir artış gözlenmiştir. Karbamazepin toksisitesi oluşma riski vardır. Konsantrasyon ölçümleri/etkisine bağlı olarak karbamazepinin dozaj ayarlaması gerekebilir.</w:t>
      </w:r>
    </w:p>
    <w:p w14:paraId="64EA07B7" w14:textId="77777777" w:rsidR="007C3E3D" w:rsidRPr="006A316D" w:rsidRDefault="007C3E3D" w:rsidP="007C3E3D">
      <w:pPr>
        <w:spacing w:after="0" w:line="240" w:lineRule="auto"/>
        <w:ind w:left="284"/>
        <w:jc w:val="both"/>
        <w:rPr>
          <w:rFonts w:ascii="Times New Roman" w:hAnsi="Times New Roman" w:cs="Times New Roman"/>
          <w:sz w:val="24"/>
          <w:szCs w:val="24"/>
        </w:rPr>
      </w:pPr>
    </w:p>
    <w:p w14:paraId="0136D1DA" w14:textId="77777777" w:rsidR="007C3E3D" w:rsidRPr="006A316D" w:rsidRDefault="007C3E3D" w:rsidP="007C3E3D">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Kalsiyum kanal blok</w:t>
      </w:r>
      <w:r w:rsidR="00552D4C" w:rsidRPr="006A316D">
        <w:rPr>
          <w:rFonts w:ascii="Times New Roman" w:hAnsi="Times New Roman" w:cs="Times New Roman"/>
          <w:b/>
          <w:bCs/>
          <w:sz w:val="24"/>
          <w:szCs w:val="24"/>
        </w:rPr>
        <w:t>ö</w:t>
      </w:r>
      <w:r w:rsidRPr="006A316D">
        <w:rPr>
          <w:rFonts w:ascii="Times New Roman" w:hAnsi="Times New Roman" w:cs="Times New Roman"/>
          <w:b/>
          <w:bCs/>
          <w:sz w:val="24"/>
          <w:szCs w:val="24"/>
        </w:rPr>
        <w:t>rleri:</w:t>
      </w:r>
    </w:p>
    <w:p w14:paraId="2F1D3E8F" w14:textId="77777777" w:rsidR="007C3E3D" w:rsidRPr="006A316D" w:rsidRDefault="007C3E3D" w:rsidP="007C3E3D">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Bazı kalsiyum kanal antagonistleri (nifepidin, isradipin, amlodipin, verapamil ve felodipin) CYP3A4 tarafından metabolize edilir. Flukonazol, kalsiyum kanal antagonistlerinin sistemik maruziyetini artırma potansiyeline sahiptir. Advers olaylar için sık izleme önerilmektedir.</w:t>
      </w:r>
    </w:p>
    <w:p w14:paraId="0FF5CDCB" w14:textId="77777777" w:rsidR="007C3E3D" w:rsidRPr="006A316D" w:rsidRDefault="007C3E3D" w:rsidP="007C3E3D">
      <w:pPr>
        <w:spacing w:after="0" w:line="240" w:lineRule="auto"/>
        <w:ind w:left="284"/>
        <w:jc w:val="both"/>
        <w:rPr>
          <w:rFonts w:ascii="Times New Roman" w:hAnsi="Times New Roman" w:cs="Times New Roman"/>
          <w:sz w:val="24"/>
          <w:szCs w:val="24"/>
        </w:rPr>
      </w:pPr>
    </w:p>
    <w:p w14:paraId="63E49B8E" w14:textId="77777777" w:rsidR="007C3E3D" w:rsidRPr="006A316D" w:rsidRDefault="007C3E3D" w:rsidP="007C3E3D">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Selekoksib</w:t>
      </w:r>
      <w:r w:rsidRPr="006A316D">
        <w:rPr>
          <w:rFonts w:ascii="Times New Roman" w:hAnsi="Times New Roman" w:cs="Times New Roman"/>
          <w:sz w:val="24"/>
          <w:szCs w:val="24"/>
        </w:rPr>
        <w:t>:</w:t>
      </w:r>
    </w:p>
    <w:p w14:paraId="54307E9F" w14:textId="77777777" w:rsidR="007C3E3D" w:rsidRPr="006A316D" w:rsidRDefault="007C3E3D" w:rsidP="007C3E3D">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(günde 200 mg) ve selekoksibin (200 mg) eş</w:t>
      </w:r>
      <w:r w:rsidR="00552D4C" w:rsidRPr="006A316D">
        <w:rPr>
          <w:rFonts w:ascii="Times New Roman" w:hAnsi="Times New Roman" w:cs="Times New Roman"/>
          <w:sz w:val="24"/>
          <w:szCs w:val="24"/>
        </w:rPr>
        <w:t xml:space="preserve"> </w:t>
      </w:r>
      <w:r w:rsidRPr="006A316D">
        <w:rPr>
          <w:rFonts w:ascii="Times New Roman" w:hAnsi="Times New Roman" w:cs="Times New Roman"/>
          <w:sz w:val="24"/>
          <w:szCs w:val="24"/>
        </w:rPr>
        <w:t>zamanlı tedavisi sırasında, selekoksibin C</w:t>
      </w:r>
      <w:r w:rsidRPr="006A316D">
        <w:rPr>
          <w:rFonts w:ascii="Times New Roman" w:hAnsi="Times New Roman" w:cs="Times New Roman"/>
          <w:sz w:val="24"/>
          <w:szCs w:val="24"/>
          <w:vertAlign w:val="subscript"/>
        </w:rPr>
        <w:t>maks</w:t>
      </w:r>
      <w:r w:rsidRPr="006A316D">
        <w:rPr>
          <w:rFonts w:ascii="Times New Roman" w:hAnsi="Times New Roman" w:cs="Times New Roman"/>
          <w:sz w:val="24"/>
          <w:szCs w:val="24"/>
        </w:rPr>
        <w:t xml:space="preserve"> ve EAA düzeyleri sırasıyla %68 ve %134 oranında artmıştır. Flukonazol ile birleştirildiğinde, selekoksib dozunun yarısı gerekebilir.</w:t>
      </w:r>
    </w:p>
    <w:p w14:paraId="63768ECC" w14:textId="77777777" w:rsidR="00176030" w:rsidRPr="006A316D" w:rsidRDefault="00176030" w:rsidP="00AC237F">
      <w:pPr>
        <w:spacing w:after="0" w:line="240" w:lineRule="auto"/>
        <w:jc w:val="both"/>
        <w:rPr>
          <w:rFonts w:ascii="Times New Roman" w:hAnsi="Times New Roman" w:cs="Times New Roman"/>
          <w:sz w:val="24"/>
          <w:szCs w:val="24"/>
        </w:rPr>
      </w:pPr>
    </w:p>
    <w:p w14:paraId="56511DAC" w14:textId="77777777" w:rsidR="00171FBD" w:rsidRPr="006A316D" w:rsidRDefault="00171FBD" w:rsidP="00A3678C">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lastRenderedPageBreak/>
        <w:t>Siklofosfamid:</w:t>
      </w:r>
    </w:p>
    <w:p w14:paraId="00EC291A" w14:textId="77777777" w:rsidR="007C3E3D" w:rsidRPr="006A316D" w:rsidRDefault="007C3E3D" w:rsidP="00A3678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Siklofosfamid ve flukonazolün kombinasyon tedavisi, serum bilirubin ve serum kreatininde artışa neden olur. Kombinasyon, serum bilirubin ve serum kreatinindeki artış riskine daha fazla dikkat ederek kullanılabilir.</w:t>
      </w:r>
    </w:p>
    <w:p w14:paraId="7EF18735" w14:textId="77777777" w:rsidR="007C3E3D" w:rsidRPr="006A316D" w:rsidRDefault="007C3E3D" w:rsidP="00A3678C">
      <w:pPr>
        <w:spacing w:after="0" w:line="240" w:lineRule="auto"/>
        <w:ind w:left="284"/>
        <w:jc w:val="both"/>
        <w:rPr>
          <w:rFonts w:ascii="Times New Roman" w:hAnsi="Times New Roman" w:cs="Times New Roman"/>
          <w:sz w:val="24"/>
          <w:szCs w:val="24"/>
        </w:rPr>
      </w:pPr>
    </w:p>
    <w:p w14:paraId="12DD0860" w14:textId="77777777" w:rsidR="007C3E3D" w:rsidRPr="006A316D" w:rsidRDefault="007C3E3D" w:rsidP="007C3E3D">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Fentanil:</w:t>
      </w:r>
    </w:p>
    <w:p w14:paraId="4496FD27" w14:textId="77777777" w:rsidR="007C3E3D" w:rsidRPr="006A316D" w:rsidRDefault="007C3E3D" w:rsidP="007C3E3D">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Olası fentanil flukonazol etkileşimiyle ilgili bir ölüm</w:t>
      </w:r>
      <w:r w:rsidR="009557A1" w:rsidRPr="006A316D">
        <w:rPr>
          <w:rFonts w:ascii="Times New Roman" w:hAnsi="Times New Roman" w:cs="Times New Roman"/>
          <w:sz w:val="24"/>
          <w:szCs w:val="24"/>
        </w:rPr>
        <w:t>cül</w:t>
      </w:r>
      <w:r w:rsidRPr="006A316D">
        <w:rPr>
          <w:rFonts w:ascii="Times New Roman" w:hAnsi="Times New Roman" w:cs="Times New Roman"/>
          <w:sz w:val="24"/>
          <w:szCs w:val="24"/>
        </w:rPr>
        <w:t xml:space="preserve"> vaka rapor edilmiştir. Buna ek olarak, on iki sağlıklı gönüllüden oluşan randomize, çapraz bir çalışmada, flukonazolün, fentanil eliminasyonunu anlamlı düzeyde geciktirdiği ortaya konmuştur. Fentanil konsantrasyonundaki artış, solunum depresyonuna neden olabilir.</w:t>
      </w:r>
      <w:r w:rsidR="002A7A89" w:rsidRPr="006A316D">
        <w:rPr>
          <w:rFonts w:ascii="Times New Roman" w:hAnsi="Times New Roman" w:cs="Times New Roman"/>
          <w:sz w:val="24"/>
          <w:szCs w:val="24"/>
        </w:rPr>
        <w:t xml:space="preserve"> Fentanil için doz ayarlaması gerekebilir.</w:t>
      </w:r>
    </w:p>
    <w:p w14:paraId="6F7A966F" w14:textId="77777777" w:rsidR="007C3E3D" w:rsidRPr="006A316D" w:rsidRDefault="007C3E3D" w:rsidP="007C3E3D">
      <w:pPr>
        <w:spacing w:after="0" w:line="240" w:lineRule="auto"/>
        <w:ind w:left="284"/>
        <w:jc w:val="both"/>
        <w:rPr>
          <w:rFonts w:ascii="Times New Roman" w:hAnsi="Times New Roman" w:cs="Times New Roman"/>
          <w:sz w:val="24"/>
          <w:szCs w:val="24"/>
        </w:rPr>
      </w:pPr>
    </w:p>
    <w:p w14:paraId="4CEA1549" w14:textId="77777777" w:rsidR="007C3E3D" w:rsidRPr="006A316D" w:rsidRDefault="007C3E3D" w:rsidP="007C3E3D">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HMG-CoA redüktaz inhibitörleri:</w:t>
      </w:r>
    </w:p>
    <w:p w14:paraId="4B3F8030" w14:textId="77777777" w:rsidR="007C3E3D" w:rsidRPr="006A316D" w:rsidRDefault="007C3E3D" w:rsidP="007C3E3D">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atorvastatin ve simvastatin gibi CYP3A4 ile veya fluvastatin gibi CYP2C9 ile metabolize edilen HMG-Co A redüktaz inhibitörleriyle birlikte uygulandığında miyopati ve rabdomiyoliz riski artar. Eş</w:t>
      </w:r>
      <w:r w:rsidR="002A7A89" w:rsidRPr="006A316D">
        <w:rPr>
          <w:rFonts w:ascii="Times New Roman" w:hAnsi="Times New Roman" w:cs="Times New Roman"/>
          <w:sz w:val="24"/>
          <w:szCs w:val="24"/>
        </w:rPr>
        <w:t xml:space="preserve"> </w:t>
      </w:r>
      <w:r w:rsidRPr="006A316D">
        <w:rPr>
          <w:rFonts w:ascii="Times New Roman" w:hAnsi="Times New Roman" w:cs="Times New Roman"/>
          <w:sz w:val="24"/>
          <w:szCs w:val="24"/>
        </w:rPr>
        <w:t>zamanlı tedavi gerekmesi durumunda, hasta, miyopati ve rabdomiyoliz semptomları açısından gözlenmeli ve kreatinin kinaz izlenmelidir. Kreatinin kinazda belirgin bir artış gözlenmesi veya miyopati/rabdomiyoliz tanısı konması ya da bunlardan şüphelenilmesi durumunda, HMG-Co A redüktaz inhibitörleri kesilmelidir.</w:t>
      </w:r>
    </w:p>
    <w:p w14:paraId="5E259624" w14:textId="77777777" w:rsidR="002A7A89" w:rsidRPr="006A316D" w:rsidRDefault="002A7A89">
      <w:pPr>
        <w:spacing w:after="0" w:line="240" w:lineRule="auto"/>
        <w:ind w:left="284"/>
        <w:jc w:val="both"/>
        <w:rPr>
          <w:rFonts w:ascii="Times New Roman" w:hAnsi="Times New Roman" w:cs="Times New Roman"/>
          <w:sz w:val="24"/>
          <w:szCs w:val="24"/>
        </w:rPr>
      </w:pPr>
    </w:p>
    <w:p w14:paraId="62FDC1B6" w14:textId="77777777" w:rsidR="00302965" w:rsidRPr="006A316D" w:rsidRDefault="00302965" w:rsidP="00385BC5">
      <w:pPr>
        <w:autoSpaceDE w:val="0"/>
        <w:autoSpaceDN w:val="0"/>
        <w:adjustRightInd w:val="0"/>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 xml:space="preserve">İbrutinib: </w:t>
      </w:r>
      <w:r w:rsidRPr="006A316D">
        <w:rPr>
          <w:rFonts w:ascii="Times New Roman" w:hAnsi="Times New Roman" w:cs="Times New Roman"/>
          <w:sz w:val="24"/>
          <w:szCs w:val="24"/>
        </w:rPr>
        <w:t xml:space="preserve">Flukanazol gibi orta derece CYP3A4 inhibitörleri plazma ibrutinib konsantrasyonlarını artırır ve toksisite riskini de artırabilir. Kombinasyon şeklinde kullanım şart ise, inhibitör kullanımı süresince ibrutinib dozu günde bir kez 280 mg'a (iki kapsül) düşürülüp ve yakın klinik izleme sağlanmalıdır. </w:t>
      </w:r>
    </w:p>
    <w:p w14:paraId="3BFD4CC4" w14:textId="77777777" w:rsidR="00302965" w:rsidRPr="006A316D" w:rsidRDefault="00302965" w:rsidP="00385BC5">
      <w:pPr>
        <w:autoSpaceDE w:val="0"/>
        <w:autoSpaceDN w:val="0"/>
        <w:adjustRightInd w:val="0"/>
        <w:spacing w:after="0" w:line="240" w:lineRule="auto"/>
        <w:jc w:val="both"/>
        <w:rPr>
          <w:rFonts w:ascii="Times New Roman" w:hAnsi="Times New Roman" w:cs="Times New Roman"/>
          <w:sz w:val="24"/>
          <w:szCs w:val="24"/>
        </w:rPr>
      </w:pPr>
    </w:p>
    <w:p w14:paraId="7F76D962" w14:textId="77777777" w:rsidR="00302965" w:rsidRPr="006A316D" w:rsidRDefault="00302965">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 xml:space="preserve">Ivacaftor: </w:t>
      </w:r>
      <w:r w:rsidRPr="006A316D">
        <w:rPr>
          <w:rFonts w:ascii="Times New Roman" w:hAnsi="Times New Roman" w:cs="Times New Roman"/>
          <w:sz w:val="24"/>
          <w:szCs w:val="24"/>
        </w:rPr>
        <w:t>Kistik fibroz transmembran kondüktör regülatör potansiyatörü olan ivakaftor ile birlikte kullanımı ivakaftora maruz kalmayı 3 kat hidroksimetil-ivakaftor (M1) maruziyetini de 1,9 kat arttırmıştır. Flukonazol ve eritromisin gibi orta dereceli CYP3A inhibitörleri ile birlikte kullanılacağı zaman günlük ivakaftor dozunun 150 mg’a düşürülmesi önerilmektedir.</w:t>
      </w:r>
    </w:p>
    <w:p w14:paraId="0D7E912C" w14:textId="77777777" w:rsidR="00302965" w:rsidRPr="006A316D" w:rsidRDefault="00302965" w:rsidP="007C3E3D">
      <w:pPr>
        <w:spacing w:after="0" w:line="240" w:lineRule="auto"/>
        <w:ind w:left="284"/>
        <w:jc w:val="both"/>
        <w:rPr>
          <w:rFonts w:ascii="Times New Roman" w:hAnsi="Times New Roman" w:cs="Times New Roman"/>
          <w:sz w:val="24"/>
          <w:szCs w:val="24"/>
        </w:rPr>
      </w:pPr>
    </w:p>
    <w:p w14:paraId="4B93EF2B" w14:textId="77777777" w:rsidR="002A7A89" w:rsidRPr="006A316D" w:rsidRDefault="002A7A89" w:rsidP="007C3E3D">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 xml:space="preserve">Olaparib: </w:t>
      </w:r>
    </w:p>
    <w:p w14:paraId="054B2894" w14:textId="77777777" w:rsidR="002A7A89" w:rsidRPr="006A316D" w:rsidRDefault="00302965" w:rsidP="007C3E3D">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CYP3A4</w:t>
      </w:r>
      <w:r w:rsidR="002A7A89" w:rsidRPr="006A316D">
        <w:rPr>
          <w:rFonts w:ascii="Times New Roman" w:hAnsi="Times New Roman" w:cs="Times New Roman"/>
          <w:sz w:val="24"/>
          <w:szCs w:val="24"/>
        </w:rPr>
        <w:t xml:space="preserve"> orta derecedeki inhibitörleri</w:t>
      </w:r>
      <w:r w:rsidRPr="006A316D">
        <w:rPr>
          <w:rFonts w:ascii="Times New Roman" w:hAnsi="Times New Roman" w:cs="Times New Roman"/>
          <w:sz w:val="24"/>
          <w:szCs w:val="24"/>
        </w:rPr>
        <w:t xml:space="preserve"> (flukonazol gibi)</w:t>
      </w:r>
      <w:r w:rsidR="002A7A89" w:rsidRPr="006A316D">
        <w:rPr>
          <w:rFonts w:ascii="Times New Roman" w:hAnsi="Times New Roman" w:cs="Times New Roman"/>
          <w:sz w:val="24"/>
          <w:szCs w:val="24"/>
        </w:rPr>
        <w:t>, olaparibin plazma konsantrasyonlarını arttırır; eş zamanlı kullanım önerilmez. Kombinasyon şeklinde kullanım şart ise, olaparib dozu günde iki kez 200 mg ile sınırlandırılmalıdır.</w:t>
      </w:r>
    </w:p>
    <w:p w14:paraId="2F607515" w14:textId="77777777" w:rsidR="007C3E3D" w:rsidRPr="006A316D" w:rsidRDefault="007C3E3D" w:rsidP="00A3678C">
      <w:pPr>
        <w:spacing w:after="0" w:line="240" w:lineRule="auto"/>
        <w:ind w:left="284"/>
        <w:jc w:val="both"/>
        <w:rPr>
          <w:rFonts w:ascii="Times New Roman" w:hAnsi="Times New Roman" w:cs="Times New Roman"/>
          <w:sz w:val="24"/>
          <w:szCs w:val="24"/>
        </w:rPr>
      </w:pPr>
    </w:p>
    <w:p w14:paraId="22786CC4" w14:textId="77777777" w:rsidR="002A7A89" w:rsidRPr="006A316D" w:rsidRDefault="002A7A89" w:rsidP="00A3678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İmmünosüpresörler (siklosporin, everolimus, sirolimus, takrolimus gibi):</w:t>
      </w:r>
    </w:p>
    <w:p w14:paraId="00F14F48" w14:textId="77777777" w:rsidR="0064140A" w:rsidRPr="006A316D" w:rsidRDefault="0064140A" w:rsidP="00882EA3">
      <w:pPr>
        <w:spacing w:after="0" w:line="240" w:lineRule="auto"/>
        <w:ind w:left="284"/>
        <w:jc w:val="both"/>
        <w:rPr>
          <w:rFonts w:ascii="Times New Roman" w:hAnsi="Times New Roman" w:cs="Times New Roman"/>
          <w:b/>
          <w:bCs/>
          <w:sz w:val="24"/>
          <w:szCs w:val="24"/>
        </w:rPr>
      </w:pPr>
    </w:p>
    <w:p w14:paraId="447B39D9" w14:textId="77777777" w:rsidR="00882EA3" w:rsidRPr="006A316D" w:rsidRDefault="00882EA3" w:rsidP="00882EA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 xml:space="preserve">Siklosporin: </w:t>
      </w:r>
    </w:p>
    <w:p w14:paraId="4667189E" w14:textId="77777777" w:rsidR="002A7A89" w:rsidRPr="006A316D" w:rsidRDefault="00882EA3" w:rsidP="00882EA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siklosporinin EAA değerini ve konsantrasyonunu anlamlı şekilde arttırır. Günlük 200 mg flukonazol ile 2,7 mg/ kg siklosporin kullanımında siklosporinin EAA değerinde 1,8 katlık bir artış olmuştur. Bu kombinasyon, siklosporin konsantrasyonuna bağlı olarak, siklosporin dozajı azaltılarak kullanılabilir.</w:t>
      </w:r>
    </w:p>
    <w:p w14:paraId="7C284215" w14:textId="77777777" w:rsidR="00882EA3" w:rsidRPr="006A316D" w:rsidRDefault="00882EA3" w:rsidP="00882EA3">
      <w:pPr>
        <w:spacing w:after="0" w:line="240" w:lineRule="auto"/>
        <w:ind w:left="284"/>
        <w:jc w:val="both"/>
        <w:rPr>
          <w:rFonts w:ascii="Times New Roman" w:hAnsi="Times New Roman" w:cs="Times New Roman"/>
          <w:sz w:val="24"/>
          <w:szCs w:val="24"/>
        </w:rPr>
      </w:pPr>
    </w:p>
    <w:p w14:paraId="2F7C13EB" w14:textId="77777777" w:rsidR="00882EA3" w:rsidRPr="006A316D" w:rsidRDefault="00882EA3" w:rsidP="00882EA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 xml:space="preserve">Everolimus: </w:t>
      </w:r>
    </w:p>
    <w:p w14:paraId="4614F49D" w14:textId="044CB68A" w:rsidR="00882EA3" w:rsidRPr="006A316D" w:rsidRDefault="00302965" w:rsidP="00882EA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i/>
          <w:iCs/>
          <w:sz w:val="24"/>
          <w:szCs w:val="24"/>
        </w:rPr>
        <w:t>I</w:t>
      </w:r>
      <w:r w:rsidR="00882EA3" w:rsidRPr="006A316D">
        <w:rPr>
          <w:rFonts w:ascii="Times New Roman" w:hAnsi="Times New Roman" w:cs="Times New Roman"/>
          <w:i/>
          <w:iCs/>
          <w:sz w:val="24"/>
          <w:szCs w:val="24"/>
        </w:rPr>
        <w:t xml:space="preserve">n vivo </w:t>
      </w:r>
      <w:r w:rsidR="00882EA3" w:rsidRPr="006A316D">
        <w:rPr>
          <w:rFonts w:ascii="Times New Roman" w:hAnsi="Times New Roman" w:cs="Times New Roman"/>
          <w:sz w:val="24"/>
          <w:szCs w:val="24"/>
        </w:rPr>
        <w:t xml:space="preserve">ve </w:t>
      </w:r>
      <w:r w:rsidR="00882EA3" w:rsidRPr="006A316D">
        <w:rPr>
          <w:rFonts w:ascii="Times New Roman" w:hAnsi="Times New Roman" w:cs="Times New Roman"/>
          <w:i/>
          <w:iCs/>
          <w:sz w:val="24"/>
          <w:szCs w:val="24"/>
        </w:rPr>
        <w:t xml:space="preserve">in vitro </w:t>
      </w:r>
      <w:r w:rsidR="00882EA3" w:rsidRPr="006A316D">
        <w:rPr>
          <w:rFonts w:ascii="Times New Roman" w:hAnsi="Times New Roman" w:cs="Times New Roman"/>
          <w:sz w:val="24"/>
          <w:szCs w:val="24"/>
        </w:rPr>
        <w:t>olarak çalışılmamıştır ancak flukonazol CYP 3A4 inhibisyonuyla everolimusun serum konsantrasyonlarını artırabilir.</w:t>
      </w:r>
    </w:p>
    <w:p w14:paraId="0E03878E" w14:textId="387407A3" w:rsidR="00F22692" w:rsidRPr="006A316D" w:rsidRDefault="00F22692" w:rsidP="00882EA3">
      <w:pPr>
        <w:spacing w:after="0" w:line="240" w:lineRule="auto"/>
        <w:ind w:left="284"/>
        <w:jc w:val="both"/>
        <w:rPr>
          <w:rFonts w:ascii="Times New Roman" w:hAnsi="Times New Roman" w:cs="Times New Roman"/>
          <w:sz w:val="24"/>
          <w:szCs w:val="24"/>
        </w:rPr>
      </w:pPr>
    </w:p>
    <w:p w14:paraId="5655C2C4" w14:textId="77777777" w:rsidR="00F22692" w:rsidRPr="006A316D" w:rsidRDefault="00F22692" w:rsidP="00882EA3">
      <w:pPr>
        <w:spacing w:after="0" w:line="240" w:lineRule="auto"/>
        <w:ind w:left="284"/>
        <w:jc w:val="both"/>
        <w:rPr>
          <w:rFonts w:ascii="Times New Roman" w:hAnsi="Times New Roman" w:cs="Times New Roman"/>
          <w:sz w:val="24"/>
          <w:szCs w:val="24"/>
        </w:rPr>
      </w:pPr>
    </w:p>
    <w:p w14:paraId="2CF90780" w14:textId="77777777" w:rsidR="00882EA3" w:rsidRPr="006A316D" w:rsidRDefault="00882EA3" w:rsidP="00882EA3">
      <w:pPr>
        <w:spacing w:after="0" w:line="240" w:lineRule="auto"/>
        <w:ind w:left="284"/>
        <w:jc w:val="both"/>
        <w:rPr>
          <w:rFonts w:ascii="Times New Roman" w:hAnsi="Times New Roman" w:cs="Times New Roman"/>
          <w:sz w:val="24"/>
          <w:szCs w:val="24"/>
        </w:rPr>
      </w:pPr>
    </w:p>
    <w:p w14:paraId="68A17285" w14:textId="77777777" w:rsidR="00882EA3" w:rsidRPr="006A316D" w:rsidRDefault="00882EA3" w:rsidP="00882EA3">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lastRenderedPageBreak/>
        <w:t>Sirolimus:</w:t>
      </w:r>
    </w:p>
    <w:p w14:paraId="14B33AED" w14:textId="77777777" w:rsidR="00882EA3" w:rsidRPr="006A316D" w:rsidRDefault="00882EA3" w:rsidP="00882EA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Flukonazol, muhtemelen sirolimus metabolizmasını CYP3A4 ve P-glikoprotein aracılığıyla inhibe ederek sirolimusun plazma konsantrasyonlarını artırır. Bu kombinasyon, etki/konsantrasyon ölçümlerine bağlı olarak, sirolimusun dozunun ayarlanmasıyla kullanılabilir. </w:t>
      </w:r>
    </w:p>
    <w:p w14:paraId="3AE84B13" w14:textId="77777777" w:rsidR="00882EA3" w:rsidRPr="006A316D" w:rsidRDefault="00882EA3" w:rsidP="00882EA3">
      <w:pPr>
        <w:spacing w:after="0" w:line="240" w:lineRule="auto"/>
        <w:ind w:left="284"/>
        <w:jc w:val="both"/>
        <w:rPr>
          <w:rFonts w:ascii="Times New Roman" w:hAnsi="Times New Roman" w:cs="Times New Roman"/>
          <w:sz w:val="24"/>
          <w:szCs w:val="24"/>
        </w:rPr>
      </w:pPr>
    </w:p>
    <w:p w14:paraId="7C94DB7C" w14:textId="77777777" w:rsidR="006872B5" w:rsidRPr="006A316D" w:rsidRDefault="006872B5" w:rsidP="006872B5">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Takrolimus:</w:t>
      </w:r>
    </w:p>
    <w:p w14:paraId="75B51E1A" w14:textId="77777777" w:rsidR="00882EA3" w:rsidRPr="006A316D" w:rsidRDefault="006872B5" w:rsidP="006872B5">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Flukonazol, takrolimus metabolizmasının barsaklarda CYP3A4 aracılığıyla inhibe edilmesi nedeniyle, oral olarak uygulanan takrolimusun serum konsantrasyonlarını 5 katına kadar artırabilir. Takrolimus intravenöz olarak verildiğinde, anlamlı hiçbir farmakokinetik değişiklik gözlenmemiştir. Takrolimus düzeylerindeki artış, nefrotoksisite ile ilişkilendirilmiştir. Oral olarak uygulanan takrolimus dozajı, takrolimus konsantrasyonuna bağlı olarak azaltılmalıdır. Flukonazol ve takrolimusu beraber kullanan hastalar dikkatle izlenmelidir. </w:t>
      </w:r>
    </w:p>
    <w:p w14:paraId="67A089FC" w14:textId="77777777" w:rsidR="00B458FD" w:rsidRPr="006A316D" w:rsidRDefault="00B458FD" w:rsidP="00F22692">
      <w:pPr>
        <w:spacing w:after="0" w:line="240" w:lineRule="auto"/>
        <w:jc w:val="both"/>
        <w:rPr>
          <w:rFonts w:ascii="Times New Roman" w:hAnsi="Times New Roman" w:cs="Times New Roman"/>
          <w:sz w:val="24"/>
          <w:szCs w:val="24"/>
        </w:rPr>
      </w:pPr>
    </w:p>
    <w:p w14:paraId="14DA64C9" w14:textId="77777777" w:rsidR="006872B5" w:rsidRPr="006A316D" w:rsidRDefault="006872B5" w:rsidP="006872B5">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Losartan:</w:t>
      </w:r>
    </w:p>
    <w:p w14:paraId="19593D80" w14:textId="77777777" w:rsidR="006872B5" w:rsidRPr="006A316D" w:rsidRDefault="006872B5" w:rsidP="006872B5">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Flukonazol, losartan ile tedavi sırasında oluşan anjiyotensin II-reseptör üzerindeki antagonist etkinin çoğundan sorumlu olan aktif metabolitine (E-31 74) losartan </w:t>
      </w:r>
      <w:r w:rsidR="001D46CE" w:rsidRPr="006A316D">
        <w:rPr>
          <w:rFonts w:ascii="Times New Roman" w:hAnsi="Times New Roman" w:cs="Times New Roman"/>
          <w:sz w:val="24"/>
          <w:szCs w:val="24"/>
        </w:rPr>
        <w:t xml:space="preserve">dönüşümünü </w:t>
      </w:r>
      <w:r w:rsidRPr="006A316D">
        <w:rPr>
          <w:rFonts w:ascii="Times New Roman" w:hAnsi="Times New Roman" w:cs="Times New Roman"/>
          <w:sz w:val="24"/>
          <w:szCs w:val="24"/>
        </w:rPr>
        <w:t>inhibe eder. Hastalar, kan basınçlarını sürekli olarak izletmelidir.</w:t>
      </w:r>
    </w:p>
    <w:p w14:paraId="0F99201C" w14:textId="77777777" w:rsidR="006872B5" w:rsidRPr="006A316D" w:rsidRDefault="006872B5" w:rsidP="006872B5">
      <w:pPr>
        <w:spacing w:after="0" w:line="240" w:lineRule="auto"/>
        <w:ind w:left="284"/>
        <w:jc w:val="both"/>
        <w:rPr>
          <w:rFonts w:ascii="Times New Roman" w:hAnsi="Times New Roman" w:cs="Times New Roman"/>
          <w:sz w:val="24"/>
          <w:szCs w:val="24"/>
        </w:rPr>
      </w:pPr>
    </w:p>
    <w:p w14:paraId="00718607" w14:textId="77777777" w:rsidR="006872B5" w:rsidRPr="006A316D" w:rsidRDefault="006872B5" w:rsidP="006872B5">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Metadon:</w:t>
      </w:r>
    </w:p>
    <w:p w14:paraId="1E2F6255" w14:textId="77777777" w:rsidR="006872B5" w:rsidRPr="006A316D" w:rsidRDefault="006872B5" w:rsidP="006872B5">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metadonun serum konsantrasyonunu artırabilir. Metadonun dozaj ayarlaması gerekebilir.</w:t>
      </w:r>
    </w:p>
    <w:p w14:paraId="1ADC1BAB" w14:textId="77777777" w:rsidR="006872B5" w:rsidRPr="006A316D" w:rsidRDefault="006872B5" w:rsidP="006872B5">
      <w:pPr>
        <w:spacing w:after="0" w:line="240" w:lineRule="auto"/>
        <w:ind w:left="284"/>
        <w:jc w:val="both"/>
        <w:rPr>
          <w:rFonts w:ascii="Times New Roman" w:hAnsi="Times New Roman" w:cs="Times New Roman"/>
          <w:sz w:val="24"/>
          <w:szCs w:val="24"/>
        </w:rPr>
      </w:pPr>
    </w:p>
    <w:p w14:paraId="091E245C" w14:textId="77777777" w:rsidR="006872B5" w:rsidRPr="006A316D" w:rsidRDefault="006872B5" w:rsidP="006872B5">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Non-steroidal anti-</w:t>
      </w:r>
      <w:r w:rsidR="00552D4C" w:rsidRPr="006A316D">
        <w:rPr>
          <w:rFonts w:ascii="Times New Roman" w:hAnsi="Times New Roman" w:cs="Times New Roman"/>
          <w:b/>
          <w:bCs/>
          <w:sz w:val="24"/>
          <w:szCs w:val="24"/>
        </w:rPr>
        <w:t>i</w:t>
      </w:r>
      <w:r w:rsidRPr="006A316D">
        <w:rPr>
          <w:rFonts w:ascii="Times New Roman" w:hAnsi="Times New Roman" w:cs="Times New Roman"/>
          <w:b/>
          <w:bCs/>
          <w:sz w:val="24"/>
          <w:szCs w:val="24"/>
        </w:rPr>
        <w:t>nflamatuvar ilaçlar</w:t>
      </w:r>
      <w:r w:rsidR="001D46CE" w:rsidRPr="006A316D">
        <w:rPr>
          <w:rFonts w:ascii="Times New Roman" w:hAnsi="Times New Roman" w:cs="Times New Roman"/>
          <w:b/>
          <w:bCs/>
          <w:sz w:val="23"/>
          <w:szCs w:val="23"/>
        </w:rPr>
        <w:t xml:space="preserve"> </w:t>
      </w:r>
      <w:r w:rsidR="001D46CE" w:rsidRPr="006A316D">
        <w:rPr>
          <w:rFonts w:ascii="Times New Roman" w:hAnsi="Times New Roman" w:cs="Times New Roman"/>
          <w:b/>
          <w:bCs/>
          <w:sz w:val="24"/>
          <w:szCs w:val="24"/>
        </w:rPr>
        <w:t xml:space="preserve">(NSAİİ): </w:t>
      </w:r>
    </w:p>
    <w:p w14:paraId="6465A636" w14:textId="77777777" w:rsidR="006872B5" w:rsidRPr="006A316D" w:rsidRDefault="006872B5" w:rsidP="006872B5">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Flurbiprofenin C</w:t>
      </w:r>
      <w:r w:rsidRPr="006A316D">
        <w:rPr>
          <w:rFonts w:ascii="Times New Roman" w:hAnsi="Times New Roman" w:cs="Times New Roman"/>
          <w:sz w:val="24"/>
          <w:szCs w:val="24"/>
          <w:vertAlign w:val="subscript"/>
        </w:rPr>
        <w:t>maks</w:t>
      </w:r>
      <w:r w:rsidRPr="006A316D">
        <w:rPr>
          <w:rFonts w:ascii="Times New Roman" w:hAnsi="Times New Roman" w:cs="Times New Roman"/>
          <w:sz w:val="24"/>
          <w:szCs w:val="24"/>
        </w:rPr>
        <w:t xml:space="preserve"> ve EAA düzeyi, tek başına flurbiprofen uygulamasına kıyasla, flukonazol ile birlikte uygulandığında sırasıyla %23 ve %81 oranında artmıştır. Benzer şekilde, tek başına rasemik ibuprofen uygulamasına kıyasla, flukonazol, rasemik ibuprofen (400 mg) ile birlikte uygulandığında, farmakolojik olarak aktif izomerin [S-(+)-ibuprofen] C</w:t>
      </w:r>
      <w:r w:rsidRPr="006A316D">
        <w:rPr>
          <w:rFonts w:ascii="Times New Roman" w:hAnsi="Times New Roman" w:cs="Times New Roman"/>
          <w:sz w:val="24"/>
          <w:szCs w:val="24"/>
          <w:vertAlign w:val="subscript"/>
        </w:rPr>
        <w:t>maks</w:t>
      </w:r>
      <w:r w:rsidRPr="006A316D">
        <w:rPr>
          <w:rFonts w:ascii="Times New Roman" w:hAnsi="Times New Roman" w:cs="Times New Roman"/>
          <w:sz w:val="24"/>
          <w:szCs w:val="24"/>
        </w:rPr>
        <w:t xml:space="preserve"> ve EAA düzeyi sırasıyla %15 ve %82 oranında artmıştır.</w:t>
      </w:r>
    </w:p>
    <w:p w14:paraId="2AA6646F" w14:textId="77777777" w:rsidR="006872B5" w:rsidRPr="006A316D" w:rsidRDefault="006872B5" w:rsidP="006872B5">
      <w:pPr>
        <w:spacing w:after="0" w:line="240" w:lineRule="auto"/>
        <w:ind w:left="284"/>
        <w:jc w:val="both"/>
        <w:rPr>
          <w:rFonts w:ascii="Times New Roman" w:hAnsi="Times New Roman" w:cs="Times New Roman"/>
          <w:sz w:val="24"/>
          <w:szCs w:val="24"/>
        </w:rPr>
      </w:pPr>
    </w:p>
    <w:p w14:paraId="4C67CD64" w14:textId="77777777" w:rsidR="006872B5" w:rsidRPr="006A316D" w:rsidRDefault="006872B5" w:rsidP="006872B5">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Özel olarak araştırılmadığı halde, flukonazol, CYP2C9 ile metabolize edilen diğer NSAİ</w:t>
      </w:r>
      <w:r w:rsidR="001D46CE" w:rsidRPr="006A316D">
        <w:rPr>
          <w:rFonts w:ascii="Times New Roman" w:hAnsi="Times New Roman" w:cs="Times New Roman"/>
          <w:sz w:val="24"/>
          <w:szCs w:val="24"/>
        </w:rPr>
        <w:t>İ</w:t>
      </w:r>
      <w:r w:rsidRPr="006A316D">
        <w:rPr>
          <w:rFonts w:ascii="Times New Roman" w:hAnsi="Times New Roman" w:cs="Times New Roman"/>
          <w:sz w:val="24"/>
          <w:szCs w:val="24"/>
        </w:rPr>
        <w:t>’lerin (örn. naproksen, lornoksikam, meloksikam, diklofenak) sistemik maruziyetini artırma potansiyeline sahiptir. NSAİ</w:t>
      </w:r>
      <w:r w:rsidR="001D46CE" w:rsidRPr="006A316D">
        <w:rPr>
          <w:rFonts w:ascii="Times New Roman" w:hAnsi="Times New Roman" w:cs="Times New Roman"/>
          <w:sz w:val="24"/>
          <w:szCs w:val="24"/>
        </w:rPr>
        <w:t>İ</w:t>
      </w:r>
      <w:r w:rsidRPr="006A316D">
        <w:rPr>
          <w:rFonts w:ascii="Times New Roman" w:hAnsi="Times New Roman" w:cs="Times New Roman"/>
          <w:sz w:val="24"/>
          <w:szCs w:val="24"/>
        </w:rPr>
        <w:t>’l</w:t>
      </w:r>
      <w:r w:rsidR="001D46CE" w:rsidRPr="006A316D">
        <w:rPr>
          <w:rFonts w:ascii="Times New Roman" w:hAnsi="Times New Roman" w:cs="Times New Roman"/>
          <w:sz w:val="24"/>
          <w:szCs w:val="24"/>
        </w:rPr>
        <w:t>e</w:t>
      </w:r>
      <w:r w:rsidRPr="006A316D">
        <w:rPr>
          <w:rFonts w:ascii="Times New Roman" w:hAnsi="Times New Roman" w:cs="Times New Roman"/>
          <w:sz w:val="24"/>
          <w:szCs w:val="24"/>
        </w:rPr>
        <w:t>r</w:t>
      </w:r>
      <w:r w:rsidR="001D46CE" w:rsidRPr="006A316D">
        <w:rPr>
          <w:rFonts w:ascii="Times New Roman" w:hAnsi="Times New Roman" w:cs="Times New Roman"/>
          <w:sz w:val="24"/>
          <w:szCs w:val="24"/>
        </w:rPr>
        <w:t>i</w:t>
      </w:r>
      <w:r w:rsidRPr="006A316D">
        <w:rPr>
          <w:rFonts w:ascii="Times New Roman" w:hAnsi="Times New Roman" w:cs="Times New Roman"/>
          <w:sz w:val="24"/>
          <w:szCs w:val="24"/>
        </w:rPr>
        <w:t>n advers olaylar ve toksisite açısından sık izlenmesi önerilmektedir. NSAİ</w:t>
      </w:r>
      <w:r w:rsidR="001D46CE" w:rsidRPr="006A316D">
        <w:rPr>
          <w:rFonts w:ascii="Times New Roman" w:hAnsi="Times New Roman" w:cs="Times New Roman"/>
          <w:sz w:val="24"/>
          <w:szCs w:val="24"/>
        </w:rPr>
        <w:t>İ</w:t>
      </w:r>
      <w:r w:rsidRPr="006A316D">
        <w:rPr>
          <w:rFonts w:ascii="Times New Roman" w:hAnsi="Times New Roman" w:cs="Times New Roman"/>
          <w:sz w:val="24"/>
          <w:szCs w:val="24"/>
        </w:rPr>
        <w:t>’l</w:t>
      </w:r>
      <w:r w:rsidR="001D46CE" w:rsidRPr="006A316D">
        <w:rPr>
          <w:rFonts w:ascii="Times New Roman" w:hAnsi="Times New Roman" w:cs="Times New Roman"/>
          <w:sz w:val="24"/>
          <w:szCs w:val="24"/>
        </w:rPr>
        <w:t>e</w:t>
      </w:r>
      <w:r w:rsidRPr="006A316D">
        <w:rPr>
          <w:rFonts w:ascii="Times New Roman" w:hAnsi="Times New Roman" w:cs="Times New Roman"/>
          <w:sz w:val="24"/>
          <w:szCs w:val="24"/>
        </w:rPr>
        <w:t>r</w:t>
      </w:r>
      <w:r w:rsidR="001D46CE" w:rsidRPr="006A316D">
        <w:rPr>
          <w:rFonts w:ascii="Times New Roman" w:hAnsi="Times New Roman" w:cs="Times New Roman"/>
          <w:sz w:val="24"/>
          <w:szCs w:val="24"/>
        </w:rPr>
        <w:t>i</w:t>
      </w:r>
      <w:r w:rsidRPr="006A316D">
        <w:rPr>
          <w:rFonts w:ascii="Times New Roman" w:hAnsi="Times New Roman" w:cs="Times New Roman"/>
          <w:sz w:val="24"/>
          <w:szCs w:val="24"/>
        </w:rPr>
        <w:t>n dozaj ayarlaması gerekebilir.</w:t>
      </w:r>
    </w:p>
    <w:p w14:paraId="453F51B7" w14:textId="77777777" w:rsidR="006872B5" w:rsidRPr="006A316D" w:rsidRDefault="006872B5" w:rsidP="006872B5">
      <w:pPr>
        <w:spacing w:after="0" w:line="240" w:lineRule="auto"/>
        <w:ind w:left="284"/>
        <w:jc w:val="both"/>
        <w:rPr>
          <w:rFonts w:ascii="Times New Roman" w:hAnsi="Times New Roman" w:cs="Times New Roman"/>
          <w:sz w:val="24"/>
          <w:szCs w:val="24"/>
        </w:rPr>
      </w:pPr>
    </w:p>
    <w:p w14:paraId="292EB1E6" w14:textId="77777777" w:rsidR="008A7506" w:rsidRPr="006A316D" w:rsidRDefault="008A7506" w:rsidP="008A7506">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Fenitoin</w:t>
      </w:r>
      <w:r w:rsidRPr="006A316D">
        <w:rPr>
          <w:rFonts w:ascii="Times New Roman" w:hAnsi="Times New Roman" w:cs="Times New Roman"/>
          <w:sz w:val="24"/>
          <w:szCs w:val="24"/>
        </w:rPr>
        <w:t>:</w:t>
      </w:r>
    </w:p>
    <w:p w14:paraId="7F6B84EA" w14:textId="77777777" w:rsidR="006872B5" w:rsidRPr="006A316D" w:rsidRDefault="008A7506" w:rsidP="008A7506">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fenitoinin hepatik metabolizmasını inhibe eder. 200 mg Flukonazol ve 250 mg fenitoinin intravenöz olarak birlikte kullanılması fenitoinin EAA</w:t>
      </w:r>
      <w:r w:rsidRPr="006A316D">
        <w:rPr>
          <w:rFonts w:ascii="Times New Roman" w:hAnsi="Times New Roman" w:cs="Times New Roman"/>
          <w:sz w:val="24"/>
          <w:szCs w:val="24"/>
          <w:vertAlign w:val="subscript"/>
        </w:rPr>
        <w:t>24</w:t>
      </w:r>
      <w:r w:rsidRPr="006A316D">
        <w:rPr>
          <w:rFonts w:ascii="Times New Roman" w:hAnsi="Times New Roman" w:cs="Times New Roman"/>
          <w:sz w:val="24"/>
          <w:szCs w:val="24"/>
        </w:rPr>
        <w:t xml:space="preserve"> düzeyinde %75’lik C</w:t>
      </w:r>
      <w:r w:rsidRPr="006A316D">
        <w:rPr>
          <w:rFonts w:ascii="Times New Roman" w:hAnsi="Times New Roman" w:cs="Times New Roman"/>
          <w:sz w:val="24"/>
          <w:szCs w:val="24"/>
          <w:vertAlign w:val="subscript"/>
        </w:rPr>
        <w:t>min</w:t>
      </w:r>
      <w:r w:rsidRPr="006A316D">
        <w:rPr>
          <w:rFonts w:ascii="Times New Roman" w:hAnsi="Times New Roman" w:cs="Times New Roman"/>
          <w:sz w:val="24"/>
          <w:szCs w:val="24"/>
        </w:rPr>
        <w:t xml:space="preserve"> düzeyinde ise %128’lik bir artışa neden olur.  Eğer bu iki ilacın birlikte kullanımı gerekiyorsa, fenitoin toksisitesini önlemek için serum fenitoin düzeyleri takip edilmelidir. </w:t>
      </w:r>
    </w:p>
    <w:p w14:paraId="5AD70655" w14:textId="77777777" w:rsidR="006872B5" w:rsidRPr="006A316D" w:rsidRDefault="006872B5" w:rsidP="006872B5">
      <w:pPr>
        <w:spacing w:after="0" w:line="240" w:lineRule="auto"/>
        <w:ind w:left="284"/>
        <w:jc w:val="both"/>
        <w:rPr>
          <w:rFonts w:ascii="Times New Roman" w:hAnsi="Times New Roman" w:cs="Times New Roman"/>
          <w:sz w:val="24"/>
          <w:szCs w:val="24"/>
        </w:rPr>
      </w:pPr>
    </w:p>
    <w:p w14:paraId="061AD881" w14:textId="77777777" w:rsidR="008A7506" w:rsidRPr="006A316D" w:rsidRDefault="008A7506" w:rsidP="008A7506">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Prednizon:</w:t>
      </w:r>
    </w:p>
    <w:p w14:paraId="4EF0765F" w14:textId="77777777" w:rsidR="008A7506" w:rsidRPr="006A316D" w:rsidRDefault="008A7506" w:rsidP="008A7506">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Prednizon ile tedavi edilen karaciğer nakli yapılmış bir hastanın, flukonazol ile üç aylık tedavi kesildiğinde akut adrenal korteks yetmezliği geliştirdiğine dair bir vaka raporu mevcuttur. Flukonazolün kesilmesi, muhtemelen CYP3A4 aktivitesinde artışa neden olmuş ve bu da prednizon metabolizmasında artışa yol açmıştır. Flukonazol ve prednizon ile uzun süreli tedavi alan hastalar, flukonazol kesildiğinde adrenal korteks yetmezliği açısından dikkatlice izlenmelidir. </w:t>
      </w:r>
    </w:p>
    <w:p w14:paraId="79FA0C79" w14:textId="77777777" w:rsidR="008A7506" w:rsidRPr="006A316D" w:rsidRDefault="008A7506" w:rsidP="008A7506">
      <w:pPr>
        <w:spacing w:after="0" w:line="240" w:lineRule="auto"/>
        <w:ind w:left="284"/>
        <w:jc w:val="both"/>
        <w:rPr>
          <w:rFonts w:ascii="Times New Roman" w:hAnsi="Times New Roman" w:cs="Times New Roman"/>
          <w:sz w:val="24"/>
          <w:szCs w:val="24"/>
        </w:rPr>
      </w:pPr>
    </w:p>
    <w:p w14:paraId="08BD88BA" w14:textId="77777777" w:rsidR="008A7506" w:rsidRPr="006A316D" w:rsidRDefault="008A7506" w:rsidP="008A7506">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lastRenderedPageBreak/>
        <w:t>Rifabutin:</w:t>
      </w:r>
    </w:p>
    <w:p w14:paraId="6A330A54" w14:textId="77777777" w:rsidR="008A7506" w:rsidRPr="006A316D" w:rsidRDefault="008A7506" w:rsidP="008A7506">
      <w:pPr>
        <w:spacing w:after="0" w:line="240" w:lineRule="auto"/>
        <w:ind w:left="284"/>
        <w:jc w:val="both"/>
        <w:rPr>
          <w:rFonts w:ascii="Times New Roman" w:hAnsi="Times New Roman" w:cs="Times New Roman"/>
          <w:strike/>
          <w:sz w:val="24"/>
          <w:szCs w:val="24"/>
        </w:rPr>
      </w:pPr>
      <w:r w:rsidRPr="006A316D">
        <w:rPr>
          <w:rFonts w:ascii="Times New Roman" w:hAnsi="Times New Roman" w:cs="Times New Roman"/>
          <w:sz w:val="24"/>
          <w:szCs w:val="24"/>
        </w:rPr>
        <w:t xml:space="preserve">Flukonazol, rifabutin ile birlikte uygulandığında, rifabutinin serum konsantrasyonlarında %80’e kadar artışa sebep olan bir etkileşim oluştuğu bildirilmiştir Flukonazol ile rifabutinin beraber uygulandığı hastalarda uveit raporları mevcuttur. Kombinasyon tedavilerinde rifabutin toksisitesi göz önünde bulundurulmalıdır.  </w:t>
      </w:r>
    </w:p>
    <w:p w14:paraId="432032A6" w14:textId="77777777" w:rsidR="00AC237F" w:rsidRPr="006A316D" w:rsidRDefault="00AC237F" w:rsidP="008A7506">
      <w:pPr>
        <w:spacing w:after="0" w:line="240" w:lineRule="auto"/>
        <w:ind w:left="284"/>
        <w:jc w:val="both"/>
        <w:rPr>
          <w:rFonts w:ascii="Times New Roman" w:hAnsi="Times New Roman" w:cs="Times New Roman"/>
          <w:sz w:val="24"/>
          <w:szCs w:val="24"/>
        </w:rPr>
      </w:pPr>
    </w:p>
    <w:p w14:paraId="4543E6FE" w14:textId="77777777" w:rsidR="008A7506" w:rsidRPr="006A316D" w:rsidRDefault="008A7506" w:rsidP="008A7506">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Sakinavir</w:t>
      </w:r>
      <w:r w:rsidRPr="006A316D">
        <w:rPr>
          <w:rFonts w:ascii="Times New Roman" w:hAnsi="Times New Roman" w:cs="Times New Roman"/>
          <w:sz w:val="24"/>
          <w:szCs w:val="24"/>
        </w:rPr>
        <w:t>:</w:t>
      </w:r>
    </w:p>
    <w:p w14:paraId="59016C33" w14:textId="77777777" w:rsidR="002A7A89" w:rsidRPr="006A316D" w:rsidRDefault="008A7506" w:rsidP="008A7506">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sakinavirin EAA düzeyini yaklaşık %50, C</w:t>
      </w:r>
      <w:r w:rsidRPr="006A316D">
        <w:rPr>
          <w:rFonts w:ascii="Times New Roman" w:hAnsi="Times New Roman" w:cs="Times New Roman"/>
          <w:sz w:val="24"/>
          <w:szCs w:val="24"/>
          <w:vertAlign w:val="subscript"/>
        </w:rPr>
        <w:t>maks</w:t>
      </w:r>
      <w:r w:rsidRPr="006A316D">
        <w:rPr>
          <w:rFonts w:ascii="Times New Roman" w:hAnsi="Times New Roman" w:cs="Times New Roman"/>
          <w:sz w:val="24"/>
          <w:szCs w:val="24"/>
        </w:rPr>
        <w:t xml:space="preserve"> düzeyini ise yaklaşık %55 artırır.</w:t>
      </w:r>
      <w:r w:rsidR="00851E5D" w:rsidRPr="006A316D">
        <w:rPr>
          <w:rFonts w:ascii="Times New Roman" w:hAnsi="Times New Roman" w:cs="Times New Roman"/>
          <w:sz w:val="24"/>
          <w:szCs w:val="24"/>
        </w:rPr>
        <w:t xml:space="preserve"> </w:t>
      </w:r>
      <w:r w:rsidR="005203B0" w:rsidRPr="006A316D">
        <w:rPr>
          <w:rFonts w:ascii="Times New Roman" w:hAnsi="Times New Roman" w:cs="Times New Roman"/>
          <w:sz w:val="24"/>
          <w:szCs w:val="24"/>
        </w:rPr>
        <w:t xml:space="preserve">Bunun nedeni </w:t>
      </w:r>
      <w:r w:rsidRPr="006A316D">
        <w:rPr>
          <w:rFonts w:ascii="Times New Roman" w:hAnsi="Times New Roman" w:cs="Times New Roman"/>
          <w:sz w:val="24"/>
          <w:szCs w:val="24"/>
        </w:rPr>
        <w:t xml:space="preserve">sakinavirin hepatik metabolizmasının CYP3A4 tarafından inhibe edilmesi ve </w:t>
      </w:r>
      <w:r w:rsidR="005203B0" w:rsidRPr="006A316D">
        <w:rPr>
          <w:rFonts w:ascii="Times New Roman" w:hAnsi="Times New Roman" w:cs="Times New Roman"/>
          <w:sz w:val="24"/>
          <w:szCs w:val="24"/>
        </w:rPr>
        <w:t xml:space="preserve">P-glikoprotein inhibisyonudur. </w:t>
      </w:r>
      <w:r w:rsidR="00851E5D" w:rsidRPr="006A316D">
        <w:rPr>
          <w:rFonts w:ascii="Times New Roman" w:hAnsi="Times New Roman" w:cs="Times New Roman"/>
          <w:sz w:val="24"/>
          <w:szCs w:val="24"/>
        </w:rPr>
        <w:t xml:space="preserve">Sakinavir/ritonavir ile etkileşim çalışılmamıştır ve daha belirgin olabilir. </w:t>
      </w:r>
      <w:r w:rsidRPr="006A316D">
        <w:rPr>
          <w:rFonts w:ascii="Times New Roman" w:hAnsi="Times New Roman" w:cs="Times New Roman"/>
          <w:sz w:val="24"/>
          <w:szCs w:val="24"/>
        </w:rPr>
        <w:t>Sakinavir dozunun ayarlanması gerekebilir.</w:t>
      </w:r>
    </w:p>
    <w:p w14:paraId="26A0B6C6" w14:textId="77777777" w:rsidR="008A7506" w:rsidRPr="006A316D" w:rsidRDefault="008A7506" w:rsidP="00A3678C">
      <w:pPr>
        <w:spacing w:after="0" w:line="240" w:lineRule="auto"/>
        <w:ind w:left="284"/>
        <w:jc w:val="both"/>
        <w:rPr>
          <w:rFonts w:ascii="Times New Roman" w:hAnsi="Times New Roman" w:cs="Times New Roman"/>
          <w:sz w:val="24"/>
          <w:szCs w:val="24"/>
        </w:rPr>
      </w:pPr>
    </w:p>
    <w:p w14:paraId="7E908006" w14:textId="77777777" w:rsidR="005203B0" w:rsidRPr="006A316D" w:rsidRDefault="005203B0" w:rsidP="005203B0">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Sülfonilüreler:</w:t>
      </w:r>
    </w:p>
    <w:p w14:paraId="088C6BEE" w14:textId="77777777" w:rsidR="005203B0" w:rsidRPr="006A316D" w:rsidRDefault="005203B0" w:rsidP="005203B0">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Flukanozolün sağlıklı gönüllülerde oral sülfonilüreler (klorpropamid, glibenklamid, glipizid, tolbutamid) ile birlikte kullanıldığında serum yarı ömürlerini uzattığı gösterilmiştir.</w:t>
      </w:r>
      <w:r w:rsidR="00AC237F" w:rsidRPr="006A316D">
        <w:rPr>
          <w:rFonts w:ascii="Times New Roman" w:hAnsi="Times New Roman" w:cs="Times New Roman"/>
          <w:sz w:val="24"/>
          <w:szCs w:val="24"/>
        </w:rPr>
        <w:t xml:space="preserve"> </w:t>
      </w:r>
      <w:r w:rsidRPr="006A316D">
        <w:rPr>
          <w:rFonts w:ascii="Times New Roman" w:hAnsi="Times New Roman" w:cs="Times New Roman"/>
          <w:sz w:val="24"/>
          <w:szCs w:val="24"/>
        </w:rPr>
        <w:t>Birlikte kullanım esnasında kan glukoz seviyelerinde sık sık izleme ve sulfonilüre dozajında uygun azaltma önerilir.</w:t>
      </w:r>
    </w:p>
    <w:p w14:paraId="0E1545C8" w14:textId="77777777" w:rsidR="00722AF4" w:rsidRPr="006A316D" w:rsidRDefault="00722AF4" w:rsidP="00AC237F">
      <w:pPr>
        <w:spacing w:after="0" w:line="240" w:lineRule="auto"/>
        <w:jc w:val="both"/>
        <w:rPr>
          <w:rFonts w:ascii="Times New Roman" w:hAnsi="Times New Roman" w:cs="Times New Roman"/>
          <w:sz w:val="24"/>
          <w:szCs w:val="24"/>
        </w:rPr>
      </w:pPr>
    </w:p>
    <w:p w14:paraId="6122C599" w14:textId="77777777" w:rsidR="005203B0" w:rsidRPr="006A316D" w:rsidRDefault="005203B0" w:rsidP="005203B0">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Teofilin:</w:t>
      </w:r>
    </w:p>
    <w:p w14:paraId="0E03646A" w14:textId="77777777" w:rsidR="005203B0" w:rsidRPr="006A316D" w:rsidRDefault="005203B0" w:rsidP="005203B0">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Plasebo kontrollü etkileşim çalışmasında, 14 gün süreyle 200 mg flukonazol kullanımı, teofilinin ortalama plazma kl</w:t>
      </w:r>
      <w:r w:rsidR="00302965" w:rsidRPr="006A316D">
        <w:rPr>
          <w:rFonts w:ascii="Times New Roman" w:hAnsi="Times New Roman" w:cs="Times New Roman"/>
          <w:sz w:val="24"/>
          <w:szCs w:val="24"/>
        </w:rPr>
        <w:t>e</w:t>
      </w:r>
      <w:r w:rsidRPr="006A316D">
        <w:rPr>
          <w:rFonts w:ascii="Times New Roman" w:hAnsi="Times New Roman" w:cs="Times New Roman"/>
          <w:sz w:val="24"/>
          <w:szCs w:val="24"/>
        </w:rPr>
        <w:t>rens hızında, %18 azalma meydana getirmiştir. Yüksek doz teofilin kullanan veya artmış teofilin toksisite riski olan hastalarda flukonazol kullanımı sırasında, teofilin toksisitesi belirtileri izlenmelidir ve toksisite belirtileri gelişirse tedavi gerektiği gibi değiştirilmelidir.</w:t>
      </w:r>
    </w:p>
    <w:p w14:paraId="332FE437" w14:textId="77777777" w:rsidR="005203B0" w:rsidRPr="006A316D" w:rsidRDefault="005203B0" w:rsidP="005203B0">
      <w:pPr>
        <w:spacing w:after="0" w:line="240" w:lineRule="auto"/>
        <w:ind w:left="284"/>
        <w:jc w:val="both"/>
        <w:rPr>
          <w:rFonts w:ascii="Times New Roman" w:hAnsi="Times New Roman" w:cs="Times New Roman"/>
          <w:sz w:val="24"/>
          <w:szCs w:val="24"/>
        </w:rPr>
      </w:pPr>
    </w:p>
    <w:p w14:paraId="4F52E42D" w14:textId="77777777" w:rsidR="005203B0" w:rsidRPr="006A316D" w:rsidRDefault="005203B0" w:rsidP="005203B0">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 xml:space="preserve">Tofasitinib: </w:t>
      </w:r>
    </w:p>
    <w:p w14:paraId="3A087627" w14:textId="77777777" w:rsidR="005203B0" w:rsidRPr="006A316D" w:rsidRDefault="005203B0" w:rsidP="005203B0">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Tofasitinib, hem CYP3A4’ün orta düzeyde inhibitörleri hem de CYP2C19’un güçlü inhibitörleri (örn., flukonazol) ile birlikte uygulandığında, tofasitinibin plazma konsantrasyonu artar. Bu nedenle, bu ilaçlar ile kombine kullanılması gerekiyorsa, tofasitinib dozunun günde bir kez 5 mg’a düşürülmesi önerilmektedir.</w:t>
      </w:r>
    </w:p>
    <w:p w14:paraId="71A98DE8" w14:textId="77777777" w:rsidR="008303B6" w:rsidRPr="006A316D" w:rsidRDefault="008303B6" w:rsidP="005203B0">
      <w:pPr>
        <w:spacing w:after="0" w:line="240" w:lineRule="auto"/>
        <w:ind w:left="284"/>
        <w:jc w:val="both"/>
        <w:rPr>
          <w:rFonts w:ascii="Times New Roman" w:hAnsi="Times New Roman" w:cs="Times New Roman"/>
          <w:sz w:val="24"/>
          <w:szCs w:val="24"/>
        </w:rPr>
      </w:pPr>
    </w:p>
    <w:p w14:paraId="10B5F206" w14:textId="77777777" w:rsidR="008303B6" w:rsidRPr="006A316D" w:rsidRDefault="008303B6" w:rsidP="00385BC5">
      <w:pPr>
        <w:autoSpaceDE w:val="0"/>
        <w:autoSpaceDN w:val="0"/>
        <w:adjustRightInd w:val="0"/>
        <w:spacing w:after="0" w:line="240" w:lineRule="auto"/>
        <w:ind w:left="284"/>
        <w:rPr>
          <w:rFonts w:ascii="Times New Roman" w:hAnsi="Times New Roman" w:cs="Times New Roman"/>
          <w:sz w:val="24"/>
          <w:szCs w:val="24"/>
        </w:rPr>
      </w:pPr>
      <w:r w:rsidRPr="006A316D">
        <w:rPr>
          <w:rFonts w:ascii="Times New Roman" w:hAnsi="Times New Roman" w:cs="Times New Roman"/>
          <w:b/>
          <w:bCs/>
          <w:sz w:val="24"/>
          <w:szCs w:val="24"/>
        </w:rPr>
        <w:t xml:space="preserve">Tolvaptan: </w:t>
      </w:r>
    </w:p>
    <w:p w14:paraId="2F1283A8" w14:textId="77777777" w:rsidR="008303B6" w:rsidRPr="006A316D" w:rsidRDefault="008303B6" w:rsidP="008303B6">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Bir CYP3A4 substratı olan tolvaptan, orta düzey bir CYP3A4 inhibitörü olan flukonazol ile birlikte uygulandığında, tolvaptan maruziyeti önemli derecede artar (EAA'da %200; Cmaks'ta %80) ve yan etkilerde; özellikle ciddi düzeyde diürez, dehidrasyon ve akut böbrek yetmezliği görülme riskinde önemli derecede artış oluşur. Eşzamanlı kullanım durumunda, tolvaptan dozu, tolvaptan ürün bilgilerinde belirtildiği gibi azaltılmalı ve hasta, tolvaptan ile ilişkili herhangi bir advers reaksiyon açısından sık sık izlenmelidir.</w:t>
      </w:r>
    </w:p>
    <w:p w14:paraId="745195B3" w14:textId="77777777" w:rsidR="005203B0" w:rsidRPr="006A316D" w:rsidRDefault="005203B0" w:rsidP="00A3678C">
      <w:pPr>
        <w:spacing w:after="0" w:line="240" w:lineRule="auto"/>
        <w:ind w:left="284"/>
        <w:jc w:val="both"/>
        <w:rPr>
          <w:rFonts w:ascii="Times New Roman" w:hAnsi="Times New Roman" w:cs="Times New Roman"/>
          <w:sz w:val="24"/>
          <w:szCs w:val="24"/>
        </w:rPr>
      </w:pPr>
    </w:p>
    <w:p w14:paraId="78E8F3C7" w14:textId="77777777" w:rsidR="005203B0" w:rsidRPr="006A316D" w:rsidRDefault="005203B0" w:rsidP="005203B0">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Vinka alkaloidleri:</w:t>
      </w:r>
    </w:p>
    <w:p w14:paraId="1BDD0DF5" w14:textId="77777777" w:rsidR="005203B0" w:rsidRPr="006A316D" w:rsidRDefault="005203B0" w:rsidP="005203B0">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Araştırılmadığı halde, flukonazol, vinka alkaloidlerinin (örn. vinkristin ve vinblastin) plazma düzeylerini artırabilir ve muhtemelen CYP3A4 üzerindeki inhibe edici etki nedeniyle nörotoksisiteye yol açabilir. </w:t>
      </w:r>
    </w:p>
    <w:p w14:paraId="0A6D42CE" w14:textId="77777777" w:rsidR="005203B0" w:rsidRPr="006A316D" w:rsidRDefault="005203B0" w:rsidP="005203B0">
      <w:pPr>
        <w:spacing w:after="0" w:line="240" w:lineRule="auto"/>
        <w:ind w:left="284"/>
        <w:jc w:val="both"/>
        <w:rPr>
          <w:rFonts w:ascii="Times New Roman" w:hAnsi="Times New Roman" w:cs="Times New Roman"/>
          <w:sz w:val="24"/>
          <w:szCs w:val="24"/>
        </w:rPr>
      </w:pPr>
    </w:p>
    <w:p w14:paraId="1CA8814D" w14:textId="77777777" w:rsidR="005203B0" w:rsidRPr="006A316D" w:rsidRDefault="005203B0" w:rsidP="005203B0">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A Vitamini:</w:t>
      </w:r>
    </w:p>
    <w:p w14:paraId="3302F9C3" w14:textId="331DCF24" w:rsidR="0098088F" w:rsidRPr="006A316D" w:rsidRDefault="005203B0" w:rsidP="00F22692">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All-trans-retinoid asit (A vitamininin asit formu) ve flukonaz</w:t>
      </w:r>
      <w:r w:rsidR="00851E5D" w:rsidRPr="006A316D">
        <w:rPr>
          <w:rFonts w:ascii="Times New Roman" w:hAnsi="Times New Roman" w:cs="Times New Roman"/>
          <w:sz w:val="24"/>
          <w:szCs w:val="24"/>
        </w:rPr>
        <w:t>ol</w:t>
      </w:r>
      <w:r w:rsidRPr="006A316D">
        <w:rPr>
          <w:rFonts w:ascii="Times New Roman" w:hAnsi="Times New Roman" w:cs="Times New Roman"/>
          <w:sz w:val="24"/>
          <w:szCs w:val="24"/>
        </w:rPr>
        <w:t xml:space="preserve"> kombinasyon tedavisi alan bir hastayla ilgili vaka raporuna göre, MSS ile ilgili istenmeyen etkiler, psödotümör serebri biçiminde gelişmiştir; bu etkiler, flukonazol tedavisi kesildikten sonra kaybolmuştur. Bu kombinasyon kullanılabilir, ancak MSS ile ilgili istenmeyen etkilerin insidansı dikkate alınmalıdır. </w:t>
      </w:r>
    </w:p>
    <w:p w14:paraId="14346B5C" w14:textId="77777777" w:rsidR="003074EC" w:rsidRPr="006A316D" w:rsidRDefault="003074EC" w:rsidP="003074EC">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lastRenderedPageBreak/>
        <w:t>Vorikonazol (CYP 2C9, CYP2C19 ve CYP 3A4 inhibitörü):</w:t>
      </w:r>
    </w:p>
    <w:p w14:paraId="3A0760C5" w14:textId="77777777" w:rsidR="003963C9" w:rsidRPr="006A316D" w:rsidRDefault="003963C9" w:rsidP="005203B0">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Vorikonazol (1 gün 12 saatte bir 400 mg, sonrasında 2,5 gün 12 saatte bir 200 mg) ile flukonazolün (1 gün 400 mg, sonrasında 4 gün 24 saatte bir 200 mg) oral olarak birlikte uygulandığı 8 sağlıklı erkek bireyde, vorikonazolün C</w:t>
      </w:r>
      <w:r w:rsidRPr="006A316D">
        <w:rPr>
          <w:rFonts w:ascii="Times New Roman" w:hAnsi="Times New Roman" w:cs="Times New Roman"/>
          <w:sz w:val="24"/>
          <w:szCs w:val="24"/>
          <w:vertAlign w:val="subscript"/>
        </w:rPr>
        <w:t>maks</w:t>
      </w:r>
      <w:r w:rsidRPr="006A316D">
        <w:rPr>
          <w:rFonts w:ascii="Times New Roman" w:hAnsi="Times New Roman" w:cs="Times New Roman"/>
          <w:sz w:val="24"/>
          <w:szCs w:val="24"/>
        </w:rPr>
        <w:t xml:space="preserve"> ve EAA değerleri sırasıyla %57 (%90 Cl: %20, %107) ve %79 (%90 Cl: %40, %128) artmıştır. Vorikonazol ve flukonazolün bu etkiyi elimine edecek azaltılmış dozu ya da sıklığı belirlenmemiştir. Eğer flukonazolden sonra vorikonazol uygulanırsa, vorikonazol kaynaklı yan etkilerin izlenmesi tavsiye edilir.</w:t>
      </w:r>
    </w:p>
    <w:p w14:paraId="48182FD2" w14:textId="77777777" w:rsidR="005203B0" w:rsidRPr="006A316D" w:rsidRDefault="005203B0" w:rsidP="00A3678C">
      <w:pPr>
        <w:spacing w:after="0" w:line="240" w:lineRule="auto"/>
        <w:ind w:left="284"/>
        <w:jc w:val="both"/>
        <w:rPr>
          <w:rFonts w:ascii="Times New Roman" w:hAnsi="Times New Roman" w:cs="Times New Roman"/>
          <w:sz w:val="24"/>
          <w:szCs w:val="24"/>
        </w:rPr>
      </w:pPr>
    </w:p>
    <w:p w14:paraId="62EF655A" w14:textId="77777777" w:rsidR="003963C9" w:rsidRPr="006A316D" w:rsidRDefault="003963C9" w:rsidP="003963C9">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Zidovudin:</w:t>
      </w:r>
    </w:p>
    <w:p w14:paraId="15101446" w14:textId="77777777" w:rsidR="003963C9" w:rsidRPr="006A316D" w:rsidRDefault="003963C9" w:rsidP="003963C9">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Zidovudinin, flukonazol ile birlikte kullanımda </w:t>
      </w:r>
      <w:r w:rsidR="00851E5D" w:rsidRPr="006A316D">
        <w:rPr>
          <w:rFonts w:ascii="Times New Roman" w:hAnsi="Times New Roman" w:cs="Times New Roman"/>
          <w:sz w:val="24"/>
          <w:szCs w:val="24"/>
        </w:rPr>
        <w:t>oral zidovudin kl</w:t>
      </w:r>
      <w:r w:rsidR="00D72A1B" w:rsidRPr="006A316D">
        <w:rPr>
          <w:rFonts w:ascii="Times New Roman" w:hAnsi="Times New Roman" w:cs="Times New Roman"/>
          <w:sz w:val="24"/>
          <w:szCs w:val="24"/>
        </w:rPr>
        <w:t>e</w:t>
      </w:r>
      <w:r w:rsidR="00851E5D" w:rsidRPr="006A316D">
        <w:rPr>
          <w:rFonts w:ascii="Times New Roman" w:hAnsi="Times New Roman" w:cs="Times New Roman"/>
          <w:sz w:val="24"/>
          <w:szCs w:val="24"/>
        </w:rPr>
        <w:t xml:space="preserve">rensindeki yaklaşık %45’lik azalma nedeniyle zidovudinin </w:t>
      </w:r>
      <w:r w:rsidRPr="006A316D">
        <w:rPr>
          <w:rFonts w:ascii="Times New Roman" w:hAnsi="Times New Roman" w:cs="Times New Roman"/>
          <w:sz w:val="24"/>
          <w:szCs w:val="24"/>
        </w:rPr>
        <w:t xml:space="preserve">C </w:t>
      </w:r>
      <w:r w:rsidRPr="006A316D">
        <w:rPr>
          <w:rFonts w:ascii="Times New Roman" w:hAnsi="Times New Roman" w:cs="Times New Roman"/>
          <w:sz w:val="24"/>
          <w:szCs w:val="24"/>
          <w:vertAlign w:val="subscript"/>
        </w:rPr>
        <w:t>maks</w:t>
      </w:r>
      <w:r w:rsidRPr="006A316D">
        <w:rPr>
          <w:rFonts w:ascii="Times New Roman" w:hAnsi="Times New Roman" w:cs="Times New Roman"/>
          <w:sz w:val="24"/>
          <w:szCs w:val="24"/>
        </w:rPr>
        <w:t xml:space="preserve"> </w:t>
      </w:r>
      <w:r w:rsidR="00851E5D" w:rsidRPr="006A316D">
        <w:rPr>
          <w:rFonts w:ascii="Times New Roman" w:hAnsi="Times New Roman" w:cs="Times New Roman"/>
          <w:sz w:val="24"/>
          <w:szCs w:val="24"/>
        </w:rPr>
        <w:t xml:space="preserve">ve </w:t>
      </w:r>
      <w:r w:rsidRPr="006A316D">
        <w:rPr>
          <w:rFonts w:ascii="Times New Roman" w:hAnsi="Times New Roman" w:cs="Times New Roman"/>
          <w:sz w:val="24"/>
          <w:szCs w:val="24"/>
        </w:rPr>
        <w:t>EAA değerleri sırasıyla %84 ve %74 artmıştır. Benzer şekilde zidovudinin yarı ömrü, flukonazol ile kombinasyon tedavisinin ardından yaklaşık %128 oranında uzamıştır. Bu kombinasyonu alan hastalar zidovudine bağlı advers reaksiyonların oluşma riskine karşı takip edilmelidir. Zidovudin dozunun azaltılması düşünülebilir.</w:t>
      </w:r>
    </w:p>
    <w:p w14:paraId="24E68E75" w14:textId="77777777" w:rsidR="003963C9" w:rsidRPr="006A316D" w:rsidRDefault="003963C9" w:rsidP="00A3678C">
      <w:pPr>
        <w:spacing w:after="0" w:line="240" w:lineRule="auto"/>
        <w:ind w:left="284"/>
        <w:jc w:val="both"/>
        <w:rPr>
          <w:rFonts w:ascii="Times New Roman" w:hAnsi="Times New Roman" w:cs="Times New Roman"/>
          <w:sz w:val="24"/>
          <w:szCs w:val="24"/>
        </w:rPr>
      </w:pPr>
    </w:p>
    <w:p w14:paraId="3BF3EDDB" w14:textId="77777777" w:rsidR="00ED2805" w:rsidRPr="006A316D" w:rsidRDefault="00ED2805" w:rsidP="00A3678C">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Azitromisin:</w:t>
      </w:r>
    </w:p>
    <w:p w14:paraId="17F8ABC0" w14:textId="77777777" w:rsidR="00ED2805" w:rsidRPr="006A316D" w:rsidRDefault="00ED2805" w:rsidP="00A3678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18 sağlıklı bireyde gerçekleştirilen açık-etiketli, randomize, üç yönlü çapraz bir çalışmada,</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1200 mg oral tek doz azitromisin ve 800 mg oral tek doz flukonazol kullanılarak, ilaçların</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birbirlerinin farmakokinetiği üzerine olan etkileri değerlendirilmiştir. Flukonazol ve</w:t>
      </w:r>
      <w:r w:rsidR="00360C93" w:rsidRPr="006A316D">
        <w:rPr>
          <w:rFonts w:ascii="Times New Roman" w:hAnsi="Times New Roman" w:cs="Times New Roman"/>
          <w:sz w:val="24"/>
          <w:szCs w:val="24"/>
        </w:rPr>
        <w:t xml:space="preserve"> </w:t>
      </w:r>
      <w:r w:rsidRPr="006A316D">
        <w:rPr>
          <w:rFonts w:ascii="Times New Roman" w:hAnsi="Times New Roman" w:cs="Times New Roman"/>
          <w:sz w:val="24"/>
          <w:szCs w:val="24"/>
        </w:rPr>
        <w:t>azitromisin arasında anlamlı bir farmakokinetik etkileşime rastlanmamıştır.</w:t>
      </w:r>
    </w:p>
    <w:p w14:paraId="39E19947" w14:textId="77777777" w:rsidR="00360C93" w:rsidRPr="006A316D" w:rsidRDefault="00360C93" w:rsidP="00A3678C">
      <w:pPr>
        <w:spacing w:after="0" w:line="240" w:lineRule="auto"/>
        <w:ind w:left="284"/>
        <w:jc w:val="both"/>
        <w:rPr>
          <w:rFonts w:ascii="Times New Roman" w:hAnsi="Times New Roman" w:cs="Times New Roman"/>
          <w:sz w:val="24"/>
          <w:szCs w:val="24"/>
        </w:rPr>
      </w:pPr>
    </w:p>
    <w:p w14:paraId="1EC1F8EF" w14:textId="77777777" w:rsidR="0064140A" w:rsidRPr="006A316D" w:rsidRDefault="0064140A" w:rsidP="0064140A">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Oral kontraseptifler:</w:t>
      </w:r>
    </w:p>
    <w:p w14:paraId="1277AEE3" w14:textId="77777777" w:rsidR="0064140A" w:rsidRPr="006A316D" w:rsidRDefault="0064140A" w:rsidP="0064140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Kombine oral kontraseptiflerle birlikte, çoklu dozlarda flukonazol kullanılarak, iki kinetik çalışma gerçekleştirilmiştir. Günde 200 mg flukonazol ile etinil östradiol ve levonorgestrel </w:t>
      </w:r>
      <w:bookmarkStart w:id="2" w:name="_Hlk67478295"/>
      <w:r w:rsidR="00D72A1B" w:rsidRPr="006A316D">
        <w:t xml:space="preserve">eğri altında kalan alanı </w:t>
      </w:r>
      <w:bookmarkEnd w:id="2"/>
      <w:r w:rsidRPr="006A316D">
        <w:rPr>
          <w:rFonts w:ascii="Times New Roman" w:hAnsi="Times New Roman" w:cs="Times New Roman"/>
          <w:sz w:val="24"/>
          <w:szCs w:val="24"/>
        </w:rPr>
        <w:t xml:space="preserve">EAA sırayla %40 ve %24 artarken 50 mg flukonazol çalışmasında her iki hormon seviyesinde belirgin değişme olmamıştır. Bu nedenle, bu dozlarda, çoklu doz flukonazol kullanımının, kombine oral kontraseptiflerin etkinliği üzerine bir etkisi olması beklenmemektedir. </w:t>
      </w:r>
    </w:p>
    <w:p w14:paraId="147CE793" w14:textId="77777777" w:rsidR="00ED2805" w:rsidRPr="006A316D" w:rsidRDefault="00ED2805" w:rsidP="00A3678C">
      <w:pPr>
        <w:spacing w:after="0" w:line="240" w:lineRule="auto"/>
        <w:ind w:left="284"/>
        <w:jc w:val="both"/>
        <w:rPr>
          <w:rFonts w:ascii="Times New Roman" w:hAnsi="Times New Roman" w:cs="Times New Roman"/>
          <w:sz w:val="24"/>
          <w:szCs w:val="24"/>
        </w:rPr>
      </w:pPr>
    </w:p>
    <w:p w14:paraId="16CCB338" w14:textId="77777777" w:rsidR="00ED2805" w:rsidRPr="006A316D" w:rsidRDefault="00ED2805" w:rsidP="00AC237F">
      <w:pPr>
        <w:spacing w:after="0" w:line="240" w:lineRule="auto"/>
        <w:jc w:val="both"/>
        <w:rPr>
          <w:rFonts w:ascii="Times New Roman" w:hAnsi="Times New Roman" w:cs="Times New Roman"/>
          <w:sz w:val="24"/>
          <w:szCs w:val="24"/>
        </w:rPr>
      </w:pPr>
    </w:p>
    <w:p w14:paraId="46042364" w14:textId="77777777" w:rsidR="00ED2805" w:rsidRPr="006A316D" w:rsidRDefault="00ED2805" w:rsidP="00A3678C">
      <w:pPr>
        <w:spacing w:after="6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Özel popülasyonlara ilişkin ek bilgiler</w:t>
      </w:r>
    </w:p>
    <w:p w14:paraId="27CE8813" w14:textId="77777777" w:rsidR="00B458FD" w:rsidRPr="006A316D" w:rsidRDefault="00B458FD" w:rsidP="00A3678C">
      <w:pPr>
        <w:spacing w:after="0" w:line="240" w:lineRule="auto"/>
        <w:ind w:left="284"/>
        <w:jc w:val="both"/>
        <w:rPr>
          <w:rFonts w:ascii="Times New Roman" w:hAnsi="Times New Roman" w:cs="Times New Roman"/>
          <w:b/>
          <w:bCs/>
          <w:sz w:val="24"/>
          <w:szCs w:val="24"/>
        </w:rPr>
      </w:pPr>
    </w:p>
    <w:p w14:paraId="39470516" w14:textId="77777777" w:rsidR="00ED2805" w:rsidRPr="006A316D" w:rsidRDefault="00ED2805" w:rsidP="00A3678C">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Pediyatrik popülasyon:</w:t>
      </w:r>
    </w:p>
    <w:p w14:paraId="749B0211" w14:textId="77777777" w:rsidR="00ED2805" w:rsidRPr="006A316D" w:rsidRDefault="00ED2805" w:rsidP="00A3678C">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Mevcut değil.</w:t>
      </w:r>
    </w:p>
    <w:p w14:paraId="79AB47A6" w14:textId="77777777" w:rsidR="00ED2805" w:rsidRPr="006A316D" w:rsidRDefault="00ED2805" w:rsidP="00ED2805">
      <w:pPr>
        <w:spacing w:after="0" w:line="240" w:lineRule="auto"/>
        <w:jc w:val="both"/>
        <w:rPr>
          <w:rFonts w:ascii="Times New Roman" w:hAnsi="Times New Roman" w:cs="Times New Roman"/>
          <w:sz w:val="24"/>
          <w:szCs w:val="24"/>
        </w:rPr>
      </w:pPr>
    </w:p>
    <w:p w14:paraId="3AE8A6B6" w14:textId="77777777" w:rsidR="00ED2805" w:rsidRPr="006A316D" w:rsidRDefault="00ED2805" w:rsidP="00A3678C">
      <w:pPr>
        <w:spacing w:after="6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4.6. Gebelik ve laktasyon</w:t>
      </w:r>
    </w:p>
    <w:p w14:paraId="0A507441" w14:textId="77777777" w:rsidR="00B458FD" w:rsidRPr="006A316D" w:rsidRDefault="00B458FD" w:rsidP="003E5DC3">
      <w:pPr>
        <w:spacing w:after="0" w:line="240" w:lineRule="auto"/>
        <w:ind w:left="284"/>
        <w:jc w:val="both"/>
        <w:rPr>
          <w:rFonts w:ascii="Times New Roman" w:hAnsi="Times New Roman" w:cs="Times New Roman"/>
          <w:b/>
          <w:bCs/>
          <w:sz w:val="24"/>
          <w:szCs w:val="24"/>
        </w:rPr>
      </w:pPr>
    </w:p>
    <w:p w14:paraId="4B8896D0" w14:textId="77777777" w:rsidR="00ED2805" w:rsidRPr="006A316D" w:rsidRDefault="00ED2805" w:rsidP="003E5DC3">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Genel tavsiye</w:t>
      </w:r>
    </w:p>
    <w:p w14:paraId="520E820D" w14:textId="77777777" w:rsidR="00ED2805"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Gebelik kategorisi: C</w:t>
      </w:r>
    </w:p>
    <w:p w14:paraId="11A01A6C" w14:textId="77777777" w:rsidR="0064140A" w:rsidRPr="006A316D" w:rsidRDefault="0064140A" w:rsidP="0064140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Vajinal kandidiyazis endikasyonunda tek doz 150 mg kapsül kullanımı için. </w:t>
      </w:r>
    </w:p>
    <w:p w14:paraId="462251B7" w14:textId="77777777" w:rsidR="0064140A" w:rsidRPr="006A316D" w:rsidRDefault="0064140A" w:rsidP="0064140A">
      <w:pPr>
        <w:spacing w:after="0" w:line="240" w:lineRule="auto"/>
        <w:ind w:left="284"/>
        <w:jc w:val="both"/>
        <w:rPr>
          <w:rFonts w:ascii="Times New Roman" w:hAnsi="Times New Roman" w:cs="Times New Roman"/>
          <w:sz w:val="24"/>
          <w:szCs w:val="24"/>
        </w:rPr>
      </w:pPr>
    </w:p>
    <w:p w14:paraId="2DA5A0F7" w14:textId="77777777" w:rsidR="0064140A" w:rsidRPr="006A316D" w:rsidRDefault="0064140A" w:rsidP="0064140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Gebelik kategorisi: D </w:t>
      </w:r>
    </w:p>
    <w:p w14:paraId="461CE225" w14:textId="77777777" w:rsidR="00A3678C" w:rsidRPr="006A316D" w:rsidRDefault="0064140A" w:rsidP="0064140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Diğer tüm endikasyonlar için.</w:t>
      </w:r>
    </w:p>
    <w:p w14:paraId="5D1C8B0B" w14:textId="77777777" w:rsidR="0064140A" w:rsidRPr="006A316D" w:rsidRDefault="0064140A" w:rsidP="003E5DC3">
      <w:pPr>
        <w:spacing w:after="0" w:line="240" w:lineRule="auto"/>
        <w:ind w:left="284"/>
        <w:jc w:val="both"/>
        <w:rPr>
          <w:rFonts w:ascii="Times New Roman" w:hAnsi="Times New Roman" w:cs="Times New Roman"/>
          <w:sz w:val="24"/>
          <w:szCs w:val="24"/>
        </w:rPr>
      </w:pPr>
    </w:p>
    <w:p w14:paraId="2B0F0A87" w14:textId="77777777" w:rsidR="0064140A" w:rsidRPr="006A316D" w:rsidRDefault="0064140A" w:rsidP="003E5DC3">
      <w:pPr>
        <w:spacing w:after="0" w:line="240" w:lineRule="auto"/>
        <w:ind w:left="284"/>
        <w:jc w:val="both"/>
        <w:rPr>
          <w:rFonts w:ascii="Times New Roman" w:hAnsi="Times New Roman" w:cs="Times New Roman"/>
          <w:sz w:val="24"/>
          <w:szCs w:val="24"/>
        </w:rPr>
      </w:pPr>
    </w:p>
    <w:p w14:paraId="7B13953C" w14:textId="77777777" w:rsidR="00ED2805" w:rsidRPr="006A316D" w:rsidRDefault="00ED2805" w:rsidP="003E5DC3">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Çocuk doğurma potansiyeli bulunan kadınlar/Doğum kontrolü (Kontrasepsiyon)</w:t>
      </w:r>
    </w:p>
    <w:p w14:paraId="7972457C" w14:textId="19A06E2C" w:rsidR="007457A2" w:rsidRPr="006A316D" w:rsidRDefault="00ED2805" w:rsidP="00F22692">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Çocuk doğurma potansiyeli bulunan kadınlarda ve doğum kontrolü (kontrasepsiyon)</w:t>
      </w:r>
      <w:r w:rsidR="00A3678C" w:rsidRPr="006A316D">
        <w:rPr>
          <w:rFonts w:ascii="Times New Roman" w:hAnsi="Times New Roman" w:cs="Times New Roman"/>
          <w:sz w:val="24"/>
          <w:szCs w:val="24"/>
        </w:rPr>
        <w:t xml:space="preserve"> </w:t>
      </w:r>
      <w:r w:rsidRPr="006A316D">
        <w:rPr>
          <w:rFonts w:ascii="Times New Roman" w:hAnsi="Times New Roman" w:cs="Times New Roman"/>
          <w:sz w:val="24"/>
          <w:szCs w:val="24"/>
        </w:rPr>
        <w:t xml:space="preserve">uygulayanlarda ilacın </w:t>
      </w:r>
      <w:r w:rsidR="00BE2724" w:rsidRPr="006A316D">
        <w:rPr>
          <w:rFonts w:ascii="Times New Roman" w:hAnsi="Times New Roman" w:cs="Times New Roman"/>
          <w:sz w:val="24"/>
          <w:szCs w:val="24"/>
        </w:rPr>
        <w:t>kullanımına dair potansiyel risk bilinmemektedir</w:t>
      </w:r>
      <w:r w:rsidRPr="006A316D">
        <w:rPr>
          <w:rFonts w:ascii="Times New Roman" w:hAnsi="Times New Roman" w:cs="Times New Roman"/>
          <w:sz w:val="24"/>
          <w:szCs w:val="24"/>
        </w:rPr>
        <w:t>. (</w:t>
      </w:r>
      <w:r w:rsidR="008303B6" w:rsidRPr="006A316D">
        <w:rPr>
          <w:rFonts w:ascii="Times New Roman" w:hAnsi="Times New Roman" w:cs="Times New Roman"/>
          <w:sz w:val="24"/>
          <w:szCs w:val="24"/>
        </w:rPr>
        <w:t>B</w:t>
      </w:r>
      <w:r w:rsidR="00BE2724" w:rsidRPr="006A316D">
        <w:rPr>
          <w:rFonts w:ascii="Times New Roman" w:hAnsi="Times New Roman" w:cs="Times New Roman"/>
          <w:sz w:val="24"/>
          <w:szCs w:val="24"/>
        </w:rPr>
        <w:t xml:space="preserve">kz. Bölüm </w:t>
      </w:r>
      <w:r w:rsidRPr="006A316D">
        <w:rPr>
          <w:rFonts w:ascii="Times New Roman" w:hAnsi="Times New Roman" w:cs="Times New Roman"/>
          <w:sz w:val="24"/>
          <w:szCs w:val="24"/>
        </w:rPr>
        <w:t>4.5)</w:t>
      </w:r>
    </w:p>
    <w:p w14:paraId="2FE092D8" w14:textId="77777777" w:rsidR="00A3678C" w:rsidRPr="006A316D" w:rsidRDefault="00ED2805" w:rsidP="00AC237F">
      <w:pPr>
        <w:spacing w:after="6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lastRenderedPageBreak/>
        <w:t>Gebelik dönemi</w:t>
      </w:r>
    </w:p>
    <w:p w14:paraId="556E386B" w14:textId="77777777" w:rsidR="00CF42F5" w:rsidRPr="006A316D" w:rsidRDefault="00CF42F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Flukonazolün, ilk trimesterd</w:t>
      </w:r>
      <w:r w:rsidR="00851E5D" w:rsidRPr="006A316D">
        <w:rPr>
          <w:rFonts w:ascii="Times New Roman" w:hAnsi="Times New Roman" w:cs="Times New Roman"/>
          <w:sz w:val="24"/>
          <w:szCs w:val="24"/>
        </w:rPr>
        <w:t>a</w:t>
      </w:r>
      <w:r w:rsidRPr="006A316D">
        <w:rPr>
          <w:rFonts w:ascii="Times New Roman" w:hAnsi="Times New Roman" w:cs="Times New Roman"/>
          <w:sz w:val="24"/>
          <w:szCs w:val="24"/>
        </w:rPr>
        <w:t xml:space="preserve"> 400-800 mg/gün dozda uzun süreli kullanımı konjenital anomali riskini arttırabilir. Tek doz, düşük doz vajinal kandidiyazis enfeksiyonu tedavisi ile bu risk gösterilmemiştir.</w:t>
      </w:r>
    </w:p>
    <w:p w14:paraId="00773372" w14:textId="77777777" w:rsidR="00CF42F5" w:rsidRPr="006A316D" w:rsidRDefault="00CF42F5" w:rsidP="003E5DC3">
      <w:pPr>
        <w:spacing w:after="0" w:line="240" w:lineRule="auto"/>
        <w:ind w:left="284"/>
        <w:jc w:val="both"/>
        <w:rPr>
          <w:rFonts w:ascii="Times New Roman" w:hAnsi="Times New Roman" w:cs="Times New Roman"/>
          <w:sz w:val="24"/>
          <w:szCs w:val="24"/>
        </w:rPr>
      </w:pPr>
    </w:p>
    <w:p w14:paraId="77FD5655" w14:textId="77777777" w:rsidR="00CF42F5" w:rsidRPr="006A316D" w:rsidRDefault="00CF42F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Gözlemsel bir çalışmada, flukonazol ile tedavi edilen kadınlarda ilk trimesterde spontane düşük riski olduğu gösterilmiştir.</w:t>
      </w:r>
    </w:p>
    <w:p w14:paraId="4CE5E461" w14:textId="77777777" w:rsidR="00CF42F5" w:rsidRPr="006A316D" w:rsidRDefault="00CF42F5" w:rsidP="003E5DC3">
      <w:pPr>
        <w:spacing w:after="0" w:line="240" w:lineRule="auto"/>
        <w:ind w:left="284"/>
        <w:jc w:val="both"/>
        <w:rPr>
          <w:rFonts w:ascii="Times New Roman" w:hAnsi="Times New Roman" w:cs="Times New Roman"/>
          <w:sz w:val="24"/>
          <w:szCs w:val="24"/>
        </w:rPr>
      </w:pPr>
    </w:p>
    <w:p w14:paraId="2A773907" w14:textId="77777777" w:rsidR="00CF42F5" w:rsidRPr="006A316D" w:rsidRDefault="00CF42F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Koksidioidomikoz</w:t>
      </w:r>
      <w:r w:rsidR="00851E5D" w:rsidRPr="006A316D">
        <w:rPr>
          <w:rFonts w:ascii="Times New Roman" w:hAnsi="Times New Roman" w:cs="Times New Roman"/>
          <w:sz w:val="24"/>
          <w:szCs w:val="24"/>
        </w:rPr>
        <w:t>is</w:t>
      </w:r>
      <w:r w:rsidRPr="006A316D">
        <w:rPr>
          <w:rFonts w:ascii="Times New Roman" w:hAnsi="Times New Roman" w:cs="Times New Roman"/>
          <w:sz w:val="24"/>
          <w:szCs w:val="24"/>
        </w:rPr>
        <w:t xml:space="preserve"> tedavisi sebebiyle 3 ay süresince veya daha uzun süre yüksek dozda (400-800 mg/gün) flukonazol kullanan annelerin çocuklarında çoklu konjenital anomaliler (brakisefali, kulak displazisi, dev ön fontanel, femoral yayma ve radyo-humeral sinostoz dahil) bildirilmiştir. Bu etkiler ile flukonazol arasındaki ilişki belirsizdir.</w:t>
      </w:r>
    </w:p>
    <w:p w14:paraId="3AD38893" w14:textId="77777777" w:rsidR="00CF42F5" w:rsidRPr="006A316D" w:rsidRDefault="00CF42F5" w:rsidP="003E5DC3">
      <w:pPr>
        <w:spacing w:after="0" w:line="240" w:lineRule="auto"/>
        <w:ind w:left="284"/>
        <w:jc w:val="both"/>
        <w:rPr>
          <w:rFonts w:ascii="Times New Roman" w:hAnsi="Times New Roman" w:cs="Times New Roman"/>
          <w:sz w:val="24"/>
          <w:szCs w:val="24"/>
        </w:rPr>
      </w:pPr>
    </w:p>
    <w:p w14:paraId="602B50BC" w14:textId="77777777" w:rsidR="00A3678C"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Hayvanlar üzerinde yapılan araştırmalar üreme toksisitesinin bulunduğunu göstermiştir (</w:t>
      </w:r>
      <w:r w:rsidR="00EF43B4" w:rsidRPr="006A316D">
        <w:rPr>
          <w:rFonts w:ascii="Times New Roman" w:hAnsi="Times New Roman" w:cs="Times New Roman"/>
          <w:sz w:val="24"/>
          <w:szCs w:val="24"/>
        </w:rPr>
        <w:t>B</w:t>
      </w:r>
      <w:r w:rsidRPr="006A316D">
        <w:rPr>
          <w:rFonts w:ascii="Times New Roman" w:hAnsi="Times New Roman" w:cs="Times New Roman"/>
          <w:sz w:val="24"/>
          <w:szCs w:val="24"/>
        </w:rPr>
        <w:t>kz.</w:t>
      </w:r>
      <w:r w:rsidR="003E5DC3" w:rsidRPr="006A316D">
        <w:rPr>
          <w:rFonts w:ascii="Times New Roman" w:hAnsi="Times New Roman" w:cs="Times New Roman"/>
          <w:sz w:val="24"/>
          <w:szCs w:val="24"/>
        </w:rPr>
        <w:t xml:space="preserve"> </w:t>
      </w:r>
      <w:r w:rsidR="009D750D" w:rsidRPr="006A316D">
        <w:rPr>
          <w:rFonts w:ascii="Times New Roman" w:hAnsi="Times New Roman" w:cs="Times New Roman"/>
          <w:sz w:val="24"/>
          <w:szCs w:val="24"/>
        </w:rPr>
        <w:t>Bölüm</w:t>
      </w:r>
      <w:r w:rsidRPr="006A316D">
        <w:rPr>
          <w:rFonts w:ascii="Times New Roman" w:hAnsi="Times New Roman" w:cs="Times New Roman"/>
          <w:sz w:val="24"/>
          <w:szCs w:val="24"/>
        </w:rPr>
        <w:t xml:space="preserve"> 5.3). </w:t>
      </w:r>
    </w:p>
    <w:p w14:paraId="78C51442" w14:textId="77777777" w:rsidR="00ED2805" w:rsidRPr="006A316D" w:rsidRDefault="00515048"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Flukonazol standart dozu ve kısa dönem tedavisi </w:t>
      </w:r>
      <w:r w:rsidR="00ED2805" w:rsidRPr="006A316D">
        <w:rPr>
          <w:rFonts w:ascii="Times New Roman" w:hAnsi="Times New Roman" w:cs="Times New Roman"/>
          <w:sz w:val="24"/>
          <w:szCs w:val="24"/>
        </w:rPr>
        <w:t>gerekli olmadıkça gebelik döneminde kullanılmamalıdır.</w:t>
      </w:r>
    </w:p>
    <w:p w14:paraId="3BA7319F" w14:textId="77777777" w:rsidR="00A3678C" w:rsidRPr="006A316D" w:rsidRDefault="00A3678C" w:rsidP="003E5DC3">
      <w:pPr>
        <w:spacing w:after="0" w:line="240" w:lineRule="auto"/>
        <w:ind w:left="284"/>
        <w:jc w:val="both"/>
        <w:rPr>
          <w:rFonts w:ascii="Times New Roman" w:hAnsi="Times New Roman" w:cs="Times New Roman"/>
          <w:sz w:val="24"/>
          <w:szCs w:val="24"/>
        </w:rPr>
      </w:pPr>
    </w:p>
    <w:p w14:paraId="18276E2A" w14:textId="77777777" w:rsidR="003E5DC3" w:rsidRPr="006A316D" w:rsidRDefault="00515048" w:rsidP="00BD0D7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yüksek dozlarda ve/veya uzatılmış tedavi rejimi hayatı tehdit edici bir enfeksiyonun varlığı dışında hamilelik döneminde kullanılmamalıdır.</w:t>
      </w:r>
    </w:p>
    <w:p w14:paraId="3BBA0D16" w14:textId="77777777" w:rsidR="00ED2805" w:rsidRPr="006A316D" w:rsidRDefault="00ED2805" w:rsidP="003E5DC3">
      <w:pPr>
        <w:spacing w:after="0" w:line="240" w:lineRule="auto"/>
        <w:ind w:left="284"/>
        <w:jc w:val="both"/>
        <w:rPr>
          <w:rFonts w:ascii="Times New Roman" w:hAnsi="Times New Roman" w:cs="Times New Roman"/>
          <w:sz w:val="24"/>
          <w:szCs w:val="24"/>
        </w:rPr>
      </w:pPr>
    </w:p>
    <w:p w14:paraId="6B94D7EF" w14:textId="77777777" w:rsidR="00ED2805" w:rsidRPr="006A316D" w:rsidRDefault="00ED2805" w:rsidP="003E5DC3">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Laktasyon dönemi</w:t>
      </w:r>
    </w:p>
    <w:p w14:paraId="482CEEF3" w14:textId="77777777" w:rsidR="00ED2805"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Flukonazol anne sütünde, </w:t>
      </w:r>
      <w:r w:rsidR="002F32E4" w:rsidRPr="006A316D">
        <w:rPr>
          <w:rFonts w:ascii="Times New Roman" w:hAnsi="Times New Roman" w:cs="Times New Roman"/>
          <w:sz w:val="24"/>
          <w:szCs w:val="24"/>
        </w:rPr>
        <w:t>plazma</w:t>
      </w:r>
      <w:r w:rsidR="00851E5D" w:rsidRPr="006A316D">
        <w:rPr>
          <w:rFonts w:ascii="Times New Roman" w:hAnsi="Times New Roman" w:cs="Times New Roman"/>
          <w:sz w:val="24"/>
          <w:szCs w:val="24"/>
        </w:rPr>
        <w:t>daki</w:t>
      </w:r>
      <w:r w:rsidR="002F32E4" w:rsidRPr="006A316D">
        <w:rPr>
          <w:rFonts w:ascii="Times New Roman" w:hAnsi="Times New Roman" w:cs="Times New Roman"/>
          <w:sz w:val="24"/>
          <w:szCs w:val="24"/>
        </w:rPr>
        <w:t xml:space="preserve"> seviyesine </w:t>
      </w:r>
      <w:r w:rsidRPr="006A316D">
        <w:rPr>
          <w:rFonts w:ascii="Times New Roman" w:hAnsi="Times New Roman" w:cs="Times New Roman"/>
          <w:sz w:val="24"/>
          <w:szCs w:val="24"/>
        </w:rPr>
        <w:t>benzer konsantrasyonlarda bulunur</w:t>
      </w:r>
      <w:r w:rsidR="002F32E4" w:rsidRPr="006A316D">
        <w:rPr>
          <w:rFonts w:ascii="Times New Roman" w:hAnsi="Times New Roman" w:cs="Times New Roman"/>
          <w:sz w:val="24"/>
          <w:szCs w:val="24"/>
        </w:rPr>
        <w:t xml:space="preserve"> (</w:t>
      </w:r>
      <w:r w:rsidR="00EF43B4" w:rsidRPr="006A316D">
        <w:rPr>
          <w:rFonts w:ascii="Times New Roman" w:hAnsi="Times New Roman" w:cs="Times New Roman"/>
          <w:sz w:val="24"/>
          <w:szCs w:val="24"/>
        </w:rPr>
        <w:t>B</w:t>
      </w:r>
      <w:r w:rsidR="002F32E4" w:rsidRPr="006A316D">
        <w:rPr>
          <w:rFonts w:ascii="Times New Roman" w:hAnsi="Times New Roman" w:cs="Times New Roman"/>
          <w:sz w:val="24"/>
          <w:szCs w:val="24"/>
        </w:rPr>
        <w:t>kz. Bölüm 5.2)</w:t>
      </w:r>
      <w:r w:rsidRPr="006A316D">
        <w:rPr>
          <w:rFonts w:ascii="Times New Roman" w:hAnsi="Times New Roman" w:cs="Times New Roman"/>
          <w:sz w:val="24"/>
          <w:szCs w:val="24"/>
        </w:rPr>
        <w:t>.</w:t>
      </w:r>
      <w:r w:rsidR="00EF1957" w:rsidRPr="006A316D">
        <w:rPr>
          <w:rFonts w:ascii="Times New Roman" w:hAnsi="Times New Roman" w:cs="Times New Roman"/>
          <w:sz w:val="24"/>
          <w:szCs w:val="24"/>
        </w:rPr>
        <w:t xml:space="preserve"> </w:t>
      </w:r>
      <w:r w:rsidR="004173C3" w:rsidRPr="006A316D">
        <w:rPr>
          <w:rFonts w:ascii="Times New Roman" w:hAnsi="Times New Roman" w:cs="Times New Roman"/>
          <w:sz w:val="24"/>
          <w:szCs w:val="24"/>
        </w:rPr>
        <w:t>Tek doz 150 mg flukonazol kullanımı sonrası emzirme sürdürülebilir. Ancak, daha yüksek dozlarda ya da tekrarlı kullanımdan sonra emzirme önerilmemektedir. Anne sütünün gelişimsel ve sağlık yararları, annenin klinik olarak flukonazol tedavisi ihtiyacı, anne sütü ile beslenen çocuğun flukonazole maruziyetine veya maternal koşullar</w:t>
      </w:r>
      <w:r w:rsidR="00851E5D" w:rsidRPr="006A316D">
        <w:rPr>
          <w:rFonts w:ascii="Times New Roman" w:hAnsi="Times New Roman" w:cs="Times New Roman"/>
          <w:sz w:val="24"/>
          <w:szCs w:val="24"/>
        </w:rPr>
        <w:t>l</w:t>
      </w:r>
      <w:r w:rsidR="004173C3" w:rsidRPr="006A316D">
        <w:rPr>
          <w:rFonts w:ascii="Times New Roman" w:hAnsi="Times New Roman" w:cs="Times New Roman"/>
          <w:sz w:val="24"/>
          <w:szCs w:val="24"/>
        </w:rPr>
        <w:t>a ilişkili olabilecek potansiyel advers etkileri ile birlikte değerlendirilmelidir.</w:t>
      </w:r>
    </w:p>
    <w:p w14:paraId="7ED7B551" w14:textId="77777777" w:rsidR="004173C3" w:rsidRPr="006A316D" w:rsidRDefault="004173C3" w:rsidP="003E5DC3">
      <w:pPr>
        <w:spacing w:after="0" w:line="240" w:lineRule="auto"/>
        <w:ind w:left="284"/>
        <w:jc w:val="both"/>
        <w:rPr>
          <w:rFonts w:ascii="Times New Roman" w:hAnsi="Times New Roman" w:cs="Times New Roman"/>
          <w:sz w:val="24"/>
          <w:szCs w:val="24"/>
        </w:rPr>
      </w:pPr>
    </w:p>
    <w:p w14:paraId="3453EAD9" w14:textId="77777777" w:rsidR="004173C3" w:rsidRPr="006A316D" w:rsidRDefault="004173C3" w:rsidP="004173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 xml:space="preserve">Üreme yeteneği/Fertilite </w:t>
      </w:r>
    </w:p>
    <w:p w14:paraId="12655B94" w14:textId="77777777" w:rsidR="00ED2805" w:rsidRPr="006A316D" w:rsidRDefault="004173C3" w:rsidP="00BD0D7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erkek ve dişi sıçanların doğurganlığını etkilememiştir</w:t>
      </w:r>
      <w:r w:rsidR="00EF1957" w:rsidRPr="006A316D">
        <w:rPr>
          <w:sz w:val="23"/>
          <w:szCs w:val="23"/>
        </w:rPr>
        <w:t xml:space="preserve">  (Bkz. Bölüm 5.3)</w:t>
      </w:r>
      <w:r w:rsidRPr="006A316D">
        <w:rPr>
          <w:rFonts w:ascii="Times New Roman" w:hAnsi="Times New Roman" w:cs="Times New Roman"/>
          <w:sz w:val="24"/>
          <w:szCs w:val="24"/>
        </w:rPr>
        <w:t>.</w:t>
      </w:r>
    </w:p>
    <w:p w14:paraId="557700F3" w14:textId="77777777" w:rsidR="00B458FD" w:rsidRPr="006A316D" w:rsidRDefault="00B458FD" w:rsidP="00BD0D73">
      <w:pPr>
        <w:spacing w:after="0" w:line="240" w:lineRule="auto"/>
        <w:ind w:left="284"/>
        <w:jc w:val="both"/>
        <w:rPr>
          <w:rFonts w:ascii="Times New Roman" w:hAnsi="Times New Roman" w:cs="Times New Roman"/>
          <w:sz w:val="24"/>
          <w:szCs w:val="24"/>
        </w:rPr>
      </w:pPr>
    </w:p>
    <w:p w14:paraId="516C4F5B" w14:textId="77777777" w:rsidR="00ED2805" w:rsidRPr="006A316D" w:rsidRDefault="00ED2805" w:rsidP="003E5DC3">
      <w:pPr>
        <w:spacing w:after="6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4.7. Araç ve makine kullanımı üzerindeki etkiler</w:t>
      </w:r>
    </w:p>
    <w:p w14:paraId="432D312C" w14:textId="77777777" w:rsidR="00ED2805" w:rsidRPr="006A316D" w:rsidRDefault="004173C3"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Flukonazolün araç ve makine kullanma üzerine etkilerine dair bir çalışma yapılmamıştır. </w:t>
      </w:r>
      <w:r w:rsidR="00ED2805" w:rsidRPr="006A316D">
        <w:rPr>
          <w:rFonts w:ascii="Times New Roman" w:hAnsi="Times New Roman" w:cs="Times New Roman"/>
          <w:sz w:val="24"/>
          <w:szCs w:val="24"/>
        </w:rPr>
        <w:t>Araç veya makine kullanırken, ara sıra baş dönmesi</w:t>
      </w:r>
      <w:r w:rsidRPr="006A316D">
        <w:rPr>
          <w:rFonts w:ascii="Times New Roman" w:hAnsi="Times New Roman" w:cs="Times New Roman"/>
          <w:sz w:val="24"/>
          <w:szCs w:val="24"/>
        </w:rPr>
        <w:t>ni</w:t>
      </w:r>
      <w:r w:rsidR="00ED2805" w:rsidRPr="006A316D">
        <w:rPr>
          <w:rFonts w:ascii="Times New Roman" w:hAnsi="Times New Roman" w:cs="Times New Roman"/>
          <w:sz w:val="24"/>
          <w:szCs w:val="24"/>
        </w:rPr>
        <w:t xml:space="preserve"> </w:t>
      </w:r>
      <w:r w:rsidRPr="006A316D">
        <w:rPr>
          <w:rFonts w:ascii="Times New Roman" w:hAnsi="Times New Roman" w:cs="Times New Roman"/>
          <w:sz w:val="24"/>
          <w:szCs w:val="24"/>
        </w:rPr>
        <w:t xml:space="preserve">de içeren sersemlik hali </w:t>
      </w:r>
      <w:r w:rsidR="00ED2805" w:rsidRPr="006A316D">
        <w:rPr>
          <w:rFonts w:ascii="Times New Roman" w:hAnsi="Times New Roman" w:cs="Times New Roman"/>
          <w:sz w:val="24"/>
          <w:szCs w:val="24"/>
        </w:rPr>
        <w:t>veya nöbetlerin ortaya çıkabileceği</w:t>
      </w:r>
      <w:r w:rsidR="00BD0D73" w:rsidRPr="006A316D">
        <w:rPr>
          <w:rFonts w:ascii="Times New Roman" w:hAnsi="Times New Roman" w:cs="Times New Roman"/>
          <w:sz w:val="24"/>
          <w:szCs w:val="24"/>
        </w:rPr>
        <w:t xml:space="preserve"> </w:t>
      </w:r>
      <w:r w:rsidRPr="006A316D">
        <w:rPr>
          <w:rFonts w:ascii="Times New Roman" w:hAnsi="Times New Roman" w:cs="Times New Roman"/>
          <w:sz w:val="24"/>
          <w:szCs w:val="24"/>
        </w:rPr>
        <w:t>konusunda hastalar uyarılmalı ve bu semptomları kendilerinde görmeleri durumunda araç veya makine kullanmamaları tavsiye edilmelidir.</w:t>
      </w:r>
    </w:p>
    <w:p w14:paraId="37C43A07" w14:textId="77777777" w:rsidR="00ED2805" w:rsidRPr="006A316D" w:rsidRDefault="00ED2805" w:rsidP="00ED2805">
      <w:pPr>
        <w:spacing w:after="0" w:line="240" w:lineRule="auto"/>
        <w:jc w:val="both"/>
        <w:rPr>
          <w:rFonts w:ascii="Times New Roman" w:hAnsi="Times New Roman" w:cs="Times New Roman"/>
          <w:sz w:val="24"/>
          <w:szCs w:val="24"/>
        </w:rPr>
      </w:pPr>
    </w:p>
    <w:p w14:paraId="7DF2FE99" w14:textId="77777777" w:rsidR="00ED2805" w:rsidRPr="006A316D" w:rsidRDefault="00ED2805" w:rsidP="003E5DC3">
      <w:pPr>
        <w:spacing w:after="6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4.8. İstenmeyen etkiler</w:t>
      </w:r>
    </w:p>
    <w:p w14:paraId="6E1E2E89" w14:textId="77777777" w:rsidR="009B0C82" w:rsidRPr="006A316D" w:rsidRDefault="009B0C82"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En sık (</w:t>
      </w:r>
      <w:r w:rsidR="00D72A1B" w:rsidRPr="006A316D">
        <w:rPr>
          <w:rFonts w:ascii="Times New Roman" w:hAnsi="Times New Roman" w:cs="Times New Roman"/>
          <w:sz w:val="24"/>
          <w:szCs w:val="24"/>
        </w:rPr>
        <w:t xml:space="preserve">≥1/100 ila </w:t>
      </w:r>
      <w:r w:rsidR="00435A2F" w:rsidRPr="006A316D">
        <w:rPr>
          <w:rFonts w:ascii="Times New Roman" w:hAnsi="Times New Roman" w:cs="Times New Roman"/>
          <w:sz w:val="24"/>
          <w:szCs w:val="24"/>
        </w:rPr>
        <w:t>&lt;</w:t>
      </w:r>
      <w:r w:rsidRPr="006A316D">
        <w:rPr>
          <w:rFonts w:ascii="Times New Roman" w:hAnsi="Times New Roman" w:cs="Times New Roman"/>
          <w:sz w:val="24"/>
          <w:szCs w:val="24"/>
        </w:rPr>
        <w:t>1/10) görülen yan etkiler baş ağrısı, karın ağrısı, diyare, bulantı, kusma, alanin aminotransferaz düzeyinde artış, aspartat aminotransferaz düzeyinde artış, kan alkalin fosfotaz düzeyinde artış ve döküntüdür.</w:t>
      </w:r>
    </w:p>
    <w:p w14:paraId="16EC40D2" w14:textId="77777777" w:rsidR="009B0C82" w:rsidRPr="006A316D" w:rsidRDefault="009B0C82" w:rsidP="003E5DC3">
      <w:pPr>
        <w:spacing w:after="0" w:line="240" w:lineRule="auto"/>
        <w:ind w:left="284"/>
        <w:jc w:val="both"/>
        <w:rPr>
          <w:rFonts w:ascii="Times New Roman" w:hAnsi="Times New Roman" w:cs="Times New Roman"/>
          <w:sz w:val="24"/>
          <w:szCs w:val="24"/>
        </w:rPr>
      </w:pPr>
    </w:p>
    <w:p w14:paraId="007F864B" w14:textId="77777777" w:rsidR="003E5DC3"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Bazı hastalarda, özellikle A</w:t>
      </w:r>
      <w:r w:rsidR="00851E5D" w:rsidRPr="006A316D">
        <w:rPr>
          <w:rFonts w:ascii="Times New Roman" w:hAnsi="Times New Roman" w:cs="Times New Roman"/>
          <w:sz w:val="24"/>
          <w:szCs w:val="24"/>
        </w:rPr>
        <w:t>İ</w:t>
      </w:r>
      <w:r w:rsidRPr="006A316D">
        <w:rPr>
          <w:rFonts w:ascii="Times New Roman" w:hAnsi="Times New Roman" w:cs="Times New Roman"/>
          <w:sz w:val="24"/>
          <w:szCs w:val="24"/>
        </w:rPr>
        <w:t>DS ve kanser gibi ciddi primer hastalığı olanlarda gerek</w:t>
      </w:r>
      <w:r w:rsidR="003E5DC3" w:rsidRPr="006A316D">
        <w:rPr>
          <w:rFonts w:ascii="Times New Roman" w:hAnsi="Times New Roman" w:cs="Times New Roman"/>
          <w:sz w:val="24"/>
          <w:szCs w:val="24"/>
        </w:rPr>
        <w:t xml:space="preserve"> </w:t>
      </w:r>
      <w:r w:rsidRPr="006A316D">
        <w:rPr>
          <w:rFonts w:ascii="Times New Roman" w:hAnsi="Times New Roman" w:cs="Times New Roman"/>
          <w:sz w:val="24"/>
          <w:szCs w:val="24"/>
        </w:rPr>
        <w:t xml:space="preserve">flukonazol gerekse </w:t>
      </w:r>
      <w:r w:rsidR="009D750D" w:rsidRPr="006A316D">
        <w:rPr>
          <w:rFonts w:ascii="Times New Roman" w:hAnsi="Times New Roman" w:cs="Times New Roman"/>
          <w:sz w:val="24"/>
          <w:szCs w:val="24"/>
        </w:rPr>
        <w:t xml:space="preserve">karşılaştırma </w:t>
      </w:r>
      <w:r w:rsidRPr="006A316D">
        <w:rPr>
          <w:rFonts w:ascii="Times New Roman" w:hAnsi="Times New Roman" w:cs="Times New Roman"/>
          <w:sz w:val="24"/>
          <w:szCs w:val="24"/>
        </w:rPr>
        <w:t>ilaçları ile tedavi sırasında renal ve hematolojik fonksiyon</w:t>
      </w:r>
      <w:r w:rsidR="003E5DC3" w:rsidRPr="006A316D">
        <w:rPr>
          <w:rFonts w:ascii="Times New Roman" w:hAnsi="Times New Roman" w:cs="Times New Roman"/>
          <w:sz w:val="24"/>
          <w:szCs w:val="24"/>
        </w:rPr>
        <w:t xml:space="preserve"> </w:t>
      </w:r>
      <w:r w:rsidRPr="006A316D">
        <w:rPr>
          <w:rFonts w:ascii="Times New Roman" w:hAnsi="Times New Roman" w:cs="Times New Roman"/>
          <w:sz w:val="24"/>
          <w:szCs w:val="24"/>
        </w:rPr>
        <w:t>testlerinde değişmeler ve hepatik anormallikler (</w:t>
      </w:r>
      <w:r w:rsidR="00EF1957" w:rsidRPr="006A316D">
        <w:rPr>
          <w:rFonts w:ascii="Times New Roman" w:hAnsi="Times New Roman" w:cs="Times New Roman"/>
          <w:sz w:val="24"/>
          <w:szCs w:val="24"/>
        </w:rPr>
        <w:t>B</w:t>
      </w:r>
      <w:r w:rsidR="002F32E4" w:rsidRPr="006A316D">
        <w:rPr>
          <w:rFonts w:ascii="Times New Roman" w:hAnsi="Times New Roman" w:cs="Times New Roman"/>
          <w:sz w:val="24"/>
          <w:szCs w:val="24"/>
        </w:rPr>
        <w:t>kz</w:t>
      </w:r>
      <w:r w:rsidRPr="006A316D">
        <w:rPr>
          <w:rFonts w:ascii="Times New Roman" w:hAnsi="Times New Roman" w:cs="Times New Roman"/>
          <w:sz w:val="24"/>
          <w:szCs w:val="24"/>
        </w:rPr>
        <w:t>.</w:t>
      </w:r>
      <w:r w:rsidR="002F32E4" w:rsidRPr="006A316D">
        <w:rPr>
          <w:rFonts w:ascii="Times New Roman" w:hAnsi="Times New Roman" w:cs="Times New Roman"/>
          <w:sz w:val="24"/>
          <w:szCs w:val="24"/>
        </w:rPr>
        <w:t xml:space="preserve"> Bölüm </w:t>
      </w:r>
      <w:r w:rsidRPr="006A316D">
        <w:rPr>
          <w:rFonts w:ascii="Times New Roman" w:hAnsi="Times New Roman" w:cs="Times New Roman"/>
          <w:sz w:val="24"/>
          <w:szCs w:val="24"/>
        </w:rPr>
        <w:t xml:space="preserve">4.4) gözlenmiştir, fakat bunların klinik </w:t>
      </w:r>
      <w:r w:rsidR="009D750D" w:rsidRPr="006A316D">
        <w:rPr>
          <w:rFonts w:ascii="Times New Roman" w:hAnsi="Times New Roman" w:cs="Times New Roman"/>
          <w:sz w:val="24"/>
          <w:szCs w:val="24"/>
        </w:rPr>
        <w:t xml:space="preserve">anlamlılığı </w:t>
      </w:r>
      <w:r w:rsidRPr="006A316D">
        <w:rPr>
          <w:rFonts w:ascii="Times New Roman" w:hAnsi="Times New Roman" w:cs="Times New Roman"/>
          <w:sz w:val="24"/>
          <w:szCs w:val="24"/>
        </w:rPr>
        <w:t>ve tedavi ile olan ilişkisi açık değildir.</w:t>
      </w:r>
      <w:r w:rsidR="003E5DC3" w:rsidRPr="006A316D">
        <w:rPr>
          <w:rFonts w:ascii="Times New Roman" w:hAnsi="Times New Roman" w:cs="Times New Roman"/>
          <w:sz w:val="24"/>
          <w:szCs w:val="24"/>
        </w:rPr>
        <w:t xml:space="preserve"> </w:t>
      </w:r>
    </w:p>
    <w:p w14:paraId="374FA218" w14:textId="3AAF5C83" w:rsidR="006A2E25" w:rsidRPr="006A316D" w:rsidRDefault="006A2E25" w:rsidP="003E5DC3">
      <w:pPr>
        <w:spacing w:after="0" w:line="240" w:lineRule="auto"/>
        <w:ind w:left="284"/>
        <w:jc w:val="both"/>
        <w:rPr>
          <w:rFonts w:ascii="Times New Roman" w:hAnsi="Times New Roman" w:cs="Times New Roman"/>
          <w:sz w:val="24"/>
          <w:szCs w:val="24"/>
        </w:rPr>
      </w:pPr>
    </w:p>
    <w:p w14:paraId="747CCED9" w14:textId="7318630D" w:rsidR="00F22692" w:rsidRPr="006A316D" w:rsidRDefault="00F22692" w:rsidP="003E5DC3">
      <w:pPr>
        <w:spacing w:after="0" w:line="240" w:lineRule="auto"/>
        <w:ind w:left="284"/>
        <w:jc w:val="both"/>
        <w:rPr>
          <w:rFonts w:ascii="Times New Roman" w:hAnsi="Times New Roman" w:cs="Times New Roman"/>
          <w:sz w:val="24"/>
          <w:szCs w:val="24"/>
        </w:rPr>
      </w:pPr>
    </w:p>
    <w:p w14:paraId="099CCC42" w14:textId="77777777" w:rsidR="00F22692" w:rsidRPr="006A316D" w:rsidRDefault="00F22692" w:rsidP="003E5DC3">
      <w:pPr>
        <w:spacing w:after="0" w:line="240" w:lineRule="auto"/>
        <w:ind w:left="284"/>
        <w:jc w:val="both"/>
        <w:rPr>
          <w:rFonts w:ascii="Times New Roman" w:hAnsi="Times New Roman" w:cs="Times New Roman"/>
          <w:sz w:val="24"/>
          <w:szCs w:val="24"/>
        </w:rPr>
      </w:pPr>
    </w:p>
    <w:p w14:paraId="050A4B10" w14:textId="77777777" w:rsidR="00ED2805"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lastRenderedPageBreak/>
        <w:t>İstenmeyen etkiler aşağıdaki kategorilere göre listelenmiştir:</w:t>
      </w:r>
    </w:p>
    <w:p w14:paraId="76EE69AB" w14:textId="77777777" w:rsidR="00ED2805"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Çok yaygın</w:t>
      </w:r>
      <w:r w:rsidR="002F32E4" w:rsidRPr="006A316D">
        <w:rPr>
          <w:rFonts w:ascii="Times New Roman" w:hAnsi="Times New Roman" w:cs="Times New Roman"/>
          <w:sz w:val="24"/>
          <w:szCs w:val="24"/>
        </w:rPr>
        <w:t xml:space="preserve"> </w:t>
      </w:r>
      <w:r w:rsidRPr="006A316D">
        <w:rPr>
          <w:rFonts w:ascii="Times New Roman" w:hAnsi="Times New Roman" w:cs="Times New Roman"/>
          <w:sz w:val="24"/>
          <w:szCs w:val="24"/>
        </w:rPr>
        <w:t>(</w:t>
      </w:r>
      <w:r w:rsidR="003E5DC3" w:rsidRPr="006A316D">
        <w:rPr>
          <w:rFonts w:ascii="Times New Roman" w:hAnsi="Times New Roman" w:cs="Times New Roman"/>
          <w:sz w:val="24"/>
          <w:szCs w:val="24"/>
        </w:rPr>
        <w:t>≥</w:t>
      </w:r>
      <w:r w:rsidRPr="006A316D">
        <w:rPr>
          <w:rFonts w:ascii="Times New Roman" w:hAnsi="Times New Roman" w:cs="Times New Roman"/>
          <w:sz w:val="24"/>
          <w:szCs w:val="24"/>
        </w:rPr>
        <w:t xml:space="preserve"> 1/10), yaygın (</w:t>
      </w:r>
      <w:r w:rsidR="003E5DC3" w:rsidRPr="006A316D">
        <w:rPr>
          <w:rFonts w:ascii="Times New Roman" w:hAnsi="Times New Roman" w:cs="Times New Roman"/>
          <w:sz w:val="24"/>
          <w:szCs w:val="24"/>
        </w:rPr>
        <w:t>≥</w:t>
      </w:r>
      <w:r w:rsidRPr="006A316D">
        <w:rPr>
          <w:rFonts w:ascii="Times New Roman" w:hAnsi="Times New Roman" w:cs="Times New Roman"/>
          <w:sz w:val="24"/>
          <w:szCs w:val="24"/>
        </w:rPr>
        <w:t xml:space="preserve"> 1/100 ve &lt; 1/10), yaygın olmayan (</w:t>
      </w:r>
      <w:r w:rsidR="003E5DC3" w:rsidRPr="006A316D">
        <w:rPr>
          <w:rFonts w:ascii="Times New Roman" w:hAnsi="Times New Roman" w:cs="Times New Roman"/>
          <w:sz w:val="24"/>
          <w:szCs w:val="24"/>
        </w:rPr>
        <w:t>≥</w:t>
      </w:r>
      <w:r w:rsidRPr="006A316D">
        <w:rPr>
          <w:rFonts w:ascii="Times New Roman" w:hAnsi="Times New Roman" w:cs="Times New Roman"/>
          <w:sz w:val="24"/>
          <w:szCs w:val="24"/>
        </w:rPr>
        <w:t>1/1000 ve &lt;1/100), seyrek</w:t>
      </w:r>
      <w:r w:rsidR="003E5DC3" w:rsidRPr="006A316D">
        <w:rPr>
          <w:rFonts w:ascii="Times New Roman" w:hAnsi="Times New Roman" w:cs="Times New Roman"/>
          <w:sz w:val="24"/>
          <w:szCs w:val="24"/>
        </w:rPr>
        <w:t xml:space="preserve"> </w:t>
      </w:r>
      <w:r w:rsidRPr="006A316D">
        <w:rPr>
          <w:rFonts w:ascii="Times New Roman" w:hAnsi="Times New Roman" w:cs="Times New Roman"/>
          <w:sz w:val="24"/>
          <w:szCs w:val="24"/>
        </w:rPr>
        <w:t>(</w:t>
      </w:r>
      <w:r w:rsidR="003E5DC3" w:rsidRPr="006A316D">
        <w:rPr>
          <w:rFonts w:ascii="Times New Roman" w:hAnsi="Times New Roman" w:cs="Times New Roman"/>
          <w:sz w:val="24"/>
          <w:szCs w:val="24"/>
        </w:rPr>
        <w:t>≥</w:t>
      </w:r>
      <w:r w:rsidRPr="006A316D">
        <w:rPr>
          <w:rFonts w:ascii="Times New Roman" w:hAnsi="Times New Roman" w:cs="Times New Roman"/>
          <w:sz w:val="24"/>
          <w:szCs w:val="24"/>
        </w:rPr>
        <w:t>1/10.000 ve &lt;1/1000), çok seyrek (&lt;1/10.000) ve bilinm</w:t>
      </w:r>
      <w:r w:rsidR="00851E5D" w:rsidRPr="006A316D">
        <w:rPr>
          <w:rFonts w:ascii="Times New Roman" w:hAnsi="Times New Roman" w:cs="Times New Roman"/>
          <w:sz w:val="24"/>
          <w:szCs w:val="24"/>
        </w:rPr>
        <w:t>iyor</w:t>
      </w:r>
      <w:r w:rsidRPr="006A316D">
        <w:rPr>
          <w:rFonts w:ascii="Times New Roman" w:hAnsi="Times New Roman" w:cs="Times New Roman"/>
          <w:sz w:val="24"/>
          <w:szCs w:val="24"/>
        </w:rPr>
        <w:t xml:space="preserve"> (mevcut olan verilere göre</w:t>
      </w:r>
      <w:r w:rsidR="003E5DC3" w:rsidRPr="006A316D">
        <w:rPr>
          <w:rFonts w:ascii="Times New Roman" w:hAnsi="Times New Roman" w:cs="Times New Roman"/>
          <w:sz w:val="24"/>
          <w:szCs w:val="24"/>
        </w:rPr>
        <w:t xml:space="preserve"> </w:t>
      </w:r>
      <w:r w:rsidRPr="006A316D">
        <w:rPr>
          <w:rFonts w:ascii="Times New Roman" w:hAnsi="Times New Roman" w:cs="Times New Roman"/>
          <w:sz w:val="24"/>
          <w:szCs w:val="24"/>
        </w:rPr>
        <w:t>sıklık tahmini yapılamayan) şeklindedir.</w:t>
      </w:r>
    </w:p>
    <w:p w14:paraId="3358C28D" w14:textId="77777777" w:rsidR="00CA7DA5" w:rsidRPr="006A316D" w:rsidRDefault="00CA7DA5" w:rsidP="003E5DC3">
      <w:pPr>
        <w:spacing w:after="0" w:line="240" w:lineRule="auto"/>
        <w:ind w:left="284"/>
        <w:jc w:val="both"/>
        <w:rPr>
          <w:rFonts w:ascii="Times New Roman" w:hAnsi="Times New Roman" w:cs="Times New Roman"/>
          <w:sz w:val="24"/>
          <w:szCs w:val="24"/>
        </w:rPr>
      </w:pPr>
    </w:p>
    <w:p w14:paraId="6F2C77C2" w14:textId="77777777" w:rsidR="00ED2805" w:rsidRPr="006A316D" w:rsidRDefault="00ED2805" w:rsidP="003E5DC3">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 xml:space="preserve">Kan ve </w:t>
      </w:r>
      <w:r w:rsidR="009D750D" w:rsidRPr="006A316D">
        <w:rPr>
          <w:rFonts w:ascii="Times New Roman" w:hAnsi="Times New Roman" w:cs="Times New Roman"/>
          <w:b/>
          <w:bCs/>
          <w:sz w:val="24"/>
          <w:szCs w:val="24"/>
        </w:rPr>
        <w:t>lenf sistemi hastalıkları</w:t>
      </w:r>
      <w:r w:rsidRPr="006A316D">
        <w:rPr>
          <w:rFonts w:ascii="Times New Roman" w:hAnsi="Times New Roman" w:cs="Times New Roman"/>
          <w:b/>
          <w:bCs/>
          <w:sz w:val="24"/>
          <w:szCs w:val="24"/>
        </w:rPr>
        <w:t>:</w:t>
      </w:r>
    </w:p>
    <w:p w14:paraId="17FB33D5" w14:textId="77777777" w:rsidR="009D750D" w:rsidRPr="006A316D" w:rsidRDefault="009D750D"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Yaygın olmayan: Anemi</w:t>
      </w:r>
    </w:p>
    <w:p w14:paraId="1B002AA7" w14:textId="77777777" w:rsidR="00ED2805"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Seyrek:</w:t>
      </w:r>
      <w:r w:rsidR="003E5DC3" w:rsidRPr="006A316D">
        <w:rPr>
          <w:rFonts w:ascii="Times New Roman" w:hAnsi="Times New Roman" w:cs="Times New Roman"/>
          <w:sz w:val="24"/>
          <w:szCs w:val="24"/>
        </w:rPr>
        <w:t xml:space="preserve"> </w:t>
      </w:r>
      <w:r w:rsidRPr="006A316D">
        <w:rPr>
          <w:rFonts w:ascii="Times New Roman" w:hAnsi="Times New Roman" w:cs="Times New Roman"/>
          <w:sz w:val="24"/>
          <w:szCs w:val="24"/>
        </w:rPr>
        <w:t>Agranulositoz, lökopeni, nötropeni</w:t>
      </w:r>
      <w:r w:rsidR="00EF1957" w:rsidRPr="006A316D">
        <w:rPr>
          <w:rFonts w:ascii="Times New Roman" w:hAnsi="Times New Roman" w:cs="Times New Roman"/>
          <w:sz w:val="24"/>
          <w:szCs w:val="24"/>
        </w:rPr>
        <w:t>,</w:t>
      </w:r>
      <w:r w:rsidRPr="006A316D">
        <w:rPr>
          <w:rFonts w:ascii="Times New Roman" w:hAnsi="Times New Roman" w:cs="Times New Roman"/>
          <w:sz w:val="24"/>
          <w:szCs w:val="24"/>
        </w:rPr>
        <w:t xml:space="preserve"> trombositopeni</w:t>
      </w:r>
    </w:p>
    <w:p w14:paraId="70710BF3" w14:textId="77777777" w:rsidR="007457A2" w:rsidRPr="006A316D" w:rsidRDefault="007457A2" w:rsidP="003E5DC3">
      <w:pPr>
        <w:spacing w:after="0" w:line="240" w:lineRule="auto"/>
        <w:ind w:left="284"/>
        <w:jc w:val="both"/>
        <w:rPr>
          <w:rFonts w:ascii="Times New Roman" w:hAnsi="Times New Roman" w:cs="Times New Roman"/>
          <w:sz w:val="24"/>
          <w:szCs w:val="24"/>
        </w:rPr>
      </w:pPr>
    </w:p>
    <w:p w14:paraId="3BE46DD3" w14:textId="77777777" w:rsidR="00ED2805" w:rsidRPr="006A316D" w:rsidRDefault="00ED2805" w:rsidP="003E5DC3">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 xml:space="preserve">Bağışıklık sistemi </w:t>
      </w:r>
      <w:r w:rsidR="009D750D" w:rsidRPr="006A316D">
        <w:rPr>
          <w:rFonts w:ascii="Times New Roman" w:hAnsi="Times New Roman" w:cs="Times New Roman"/>
          <w:b/>
          <w:bCs/>
          <w:sz w:val="24"/>
          <w:szCs w:val="24"/>
        </w:rPr>
        <w:t>hastalıkları</w:t>
      </w:r>
      <w:r w:rsidRPr="006A316D">
        <w:rPr>
          <w:rFonts w:ascii="Times New Roman" w:hAnsi="Times New Roman" w:cs="Times New Roman"/>
          <w:b/>
          <w:bCs/>
          <w:sz w:val="24"/>
          <w:szCs w:val="24"/>
        </w:rPr>
        <w:t>:</w:t>
      </w:r>
    </w:p>
    <w:p w14:paraId="45561DEE" w14:textId="77777777" w:rsidR="00ED2805" w:rsidRPr="006A316D" w:rsidRDefault="003E5DC3"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Seyrek: Anaflaksi</w:t>
      </w:r>
      <w:r w:rsidR="00ED2805" w:rsidRPr="006A316D">
        <w:rPr>
          <w:rFonts w:ascii="Times New Roman" w:hAnsi="Times New Roman" w:cs="Times New Roman"/>
          <w:sz w:val="24"/>
          <w:szCs w:val="24"/>
        </w:rPr>
        <w:t xml:space="preserve"> (anjioödem, yüzde ödem, prurit, ürtiker dahil olmak üzere)</w:t>
      </w:r>
    </w:p>
    <w:p w14:paraId="13C70AFB" w14:textId="77777777" w:rsidR="00ED2805" w:rsidRPr="006A316D" w:rsidRDefault="00ED2805" w:rsidP="003E5DC3">
      <w:pPr>
        <w:spacing w:after="0" w:line="240" w:lineRule="auto"/>
        <w:ind w:left="284"/>
        <w:jc w:val="both"/>
        <w:rPr>
          <w:rFonts w:ascii="Times New Roman" w:hAnsi="Times New Roman" w:cs="Times New Roman"/>
          <w:sz w:val="24"/>
          <w:szCs w:val="24"/>
        </w:rPr>
      </w:pPr>
    </w:p>
    <w:p w14:paraId="55FCF8A7" w14:textId="77777777" w:rsidR="00ED2805" w:rsidRPr="006A316D" w:rsidRDefault="00ED2805" w:rsidP="003E5DC3">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 xml:space="preserve">Metabolizma ve beslenme </w:t>
      </w:r>
      <w:r w:rsidR="009D750D" w:rsidRPr="006A316D">
        <w:rPr>
          <w:rFonts w:ascii="Times New Roman" w:hAnsi="Times New Roman" w:cs="Times New Roman"/>
          <w:b/>
          <w:bCs/>
          <w:sz w:val="24"/>
          <w:szCs w:val="24"/>
        </w:rPr>
        <w:t>hastalıkları</w:t>
      </w:r>
      <w:r w:rsidRPr="006A316D">
        <w:rPr>
          <w:rFonts w:ascii="Times New Roman" w:hAnsi="Times New Roman" w:cs="Times New Roman"/>
          <w:b/>
          <w:bCs/>
          <w:sz w:val="24"/>
          <w:szCs w:val="24"/>
        </w:rPr>
        <w:t>:</w:t>
      </w:r>
    </w:p>
    <w:p w14:paraId="64DC04B8" w14:textId="77777777" w:rsidR="009D750D" w:rsidRPr="006A316D" w:rsidRDefault="009D750D"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Yaygın olmayan: İştah azalması</w:t>
      </w:r>
    </w:p>
    <w:p w14:paraId="67ADEFD1" w14:textId="77777777" w:rsidR="00ED2805" w:rsidRPr="006A316D" w:rsidRDefault="003E5DC3"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Seyrek: Hiperkolesterolemi</w:t>
      </w:r>
      <w:r w:rsidR="00ED2805" w:rsidRPr="006A316D">
        <w:rPr>
          <w:rFonts w:ascii="Times New Roman" w:hAnsi="Times New Roman" w:cs="Times New Roman"/>
          <w:sz w:val="24"/>
          <w:szCs w:val="24"/>
        </w:rPr>
        <w:t>, hipertrigliseridemi, hipokalemi</w:t>
      </w:r>
    </w:p>
    <w:p w14:paraId="16D61120" w14:textId="77777777" w:rsidR="00ED2805" w:rsidRPr="006A316D" w:rsidRDefault="00ED2805" w:rsidP="003E5DC3">
      <w:pPr>
        <w:spacing w:after="0" w:line="240" w:lineRule="auto"/>
        <w:ind w:left="284"/>
        <w:jc w:val="both"/>
        <w:rPr>
          <w:rFonts w:ascii="Times New Roman" w:hAnsi="Times New Roman" w:cs="Times New Roman"/>
          <w:sz w:val="24"/>
          <w:szCs w:val="24"/>
        </w:rPr>
      </w:pPr>
    </w:p>
    <w:p w14:paraId="2D5BB731" w14:textId="77777777" w:rsidR="00ED2805" w:rsidRPr="006A316D" w:rsidRDefault="00ED2805" w:rsidP="003E5DC3">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 xml:space="preserve">Psikiyatrik </w:t>
      </w:r>
      <w:r w:rsidR="0067303F" w:rsidRPr="006A316D">
        <w:rPr>
          <w:rFonts w:ascii="Times New Roman" w:hAnsi="Times New Roman" w:cs="Times New Roman"/>
          <w:b/>
          <w:bCs/>
          <w:sz w:val="24"/>
          <w:szCs w:val="24"/>
        </w:rPr>
        <w:t>hastalıklar:</w:t>
      </w:r>
    </w:p>
    <w:p w14:paraId="328F9FFA" w14:textId="77777777" w:rsidR="00ED2805"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Yaygın </w:t>
      </w:r>
      <w:r w:rsidR="003E5DC3" w:rsidRPr="006A316D">
        <w:rPr>
          <w:rFonts w:ascii="Times New Roman" w:hAnsi="Times New Roman" w:cs="Times New Roman"/>
          <w:sz w:val="24"/>
          <w:szCs w:val="24"/>
        </w:rPr>
        <w:t>olmayan: Uykusuzluk</w:t>
      </w:r>
      <w:r w:rsidRPr="006A316D">
        <w:rPr>
          <w:rFonts w:ascii="Times New Roman" w:hAnsi="Times New Roman" w:cs="Times New Roman"/>
          <w:sz w:val="24"/>
          <w:szCs w:val="24"/>
        </w:rPr>
        <w:t>, uykululuk hali</w:t>
      </w:r>
    </w:p>
    <w:p w14:paraId="4AF9171B" w14:textId="77777777" w:rsidR="00ED2805" w:rsidRPr="006A316D" w:rsidRDefault="00ED2805" w:rsidP="003E5DC3">
      <w:pPr>
        <w:spacing w:after="0" w:line="240" w:lineRule="auto"/>
        <w:ind w:left="284"/>
        <w:jc w:val="both"/>
        <w:rPr>
          <w:rFonts w:ascii="Times New Roman" w:hAnsi="Times New Roman" w:cs="Times New Roman"/>
          <w:sz w:val="24"/>
          <w:szCs w:val="24"/>
        </w:rPr>
      </w:pPr>
    </w:p>
    <w:p w14:paraId="50F8461E" w14:textId="77777777" w:rsidR="00ED2805" w:rsidRPr="006A316D" w:rsidRDefault="00ED2805" w:rsidP="003E5DC3">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Sinir sistemi hastalıkları:</w:t>
      </w:r>
    </w:p>
    <w:p w14:paraId="5FA6C889" w14:textId="77777777" w:rsidR="00ED2805" w:rsidRPr="006A316D" w:rsidRDefault="003E5DC3"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Yaygın: Baş</w:t>
      </w:r>
      <w:r w:rsidR="0067303F" w:rsidRPr="006A316D">
        <w:rPr>
          <w:rFonts w:ascii="Times New Roman" w:hAnsi="Times New Roman" w:cs="Times New Roman"/>
          <w:sz w:val="24"/>
          <w:szCs w:val="24"/>
        </w:rPr>
        <w:t xml:space="preserve"> </w:t>
      </w:r>
      <w:r w:rsidRPr="006A316D">
        <w:rPr>
          <w:rFonts w:ascii="Times New Roman" w:hAnsi="Times New Roman" w:cs="Times New Roman"/>
          <w:sz w:val="24"/>
          <w:szCs w:val="24"/>
        </w:rPr>
        <w:t>ağrısı</w:t>
      </w:r>
      <w:r w:rsidR="00ED2805" w:rsidRPr="006A316D">
        <w:rPr>
          <w:rFonts w:ascii="Times New Roman" w:hAnsi="Times New Roman" w:cs="Times New Roman"/>
          <w:sz w:val="24"/>
          <w:szCs w:val="24"/>
        </w:rPr>
        <w:t>,</w:t>
      </w:r>
    </w:p>
    <w:p w14:paraId="1C680F3B" w14:textId="77777777" w:rsidR="00ED2805"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Yaygın </w:t>
      </w:r>
      <w:r w:rsidR="003E5DC3" w:rsidRPr="006A316D">
        <w:rPr>
          <w:rFonts w:ascii="Times New Roman" w:hAnsi="Times New Roman" w:cs="Times New Roman"/>
          <w:sz w:val="24"/>
          <w:szCs w:val="24"/>
        </w:rPr>
        <w:t>olmayan: Nöbetler</w:t>
      </w:r>
      <w:r w:rsidRPr="006A316D">
        <w:rPr>
          <w:rFonts w:ascii="Times New Roman" w:hAnsi="Times New Roman" w:cs="Times New Roman"/>
          <w:sz w:val="24"/>
          <w:szCs w:val="24"/>
        </w:rPr>
        <w:t>, sersemlik, parestezi, tat bozukluğu</w:t>
      </w:r>
    </w:p>
    <w:p w14:paraId="5F1D0DA5" w14:textId="77777777" w:rsidR="00ED2805" w:rsidRPr="006A316D" w:rsidRDefault="003E5DC3"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Seyrek: Titreme</w:t>
      </w:r>
    </w:p>
    <w:p w14:paraId="78A14A28" w14:textId="77777777" w:rsidR="00ED2805" w:rsidRPr="006A316D" w:rsidRDefault="00ED2805" w:rsidP="003E5DC3">
      <w:pPr>
        <w:spacing w:after="0" w:line="240" w:lineRule="auto"/>
        <w:ind w:left="284"/>
        <w:jc w:val="both"/>
        <w:rPr>
          <w:rFonts w:ascii="Times New Roman" w:hAnsi="Times New Roman" w:cs="Times New Roman"/>
          <w:sz w:val="24"/>
          <w:szCs w:val="24"/>
        </w:rPr>
      </w:pPr>
    </w:p>
    <w:p w14:paraId="5EA6CADA" w14:textId="77777777" w:rsidR="00ED2805" w:rsidRPr="006A316D" w:rsidRDefault="00ED2805" w:rsidP="003E5DC3">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 xml:space="preserve">Kulak ve iç kulak </w:t>
      </w:r>
      <w:r w:rsidR="0067303F" w:rsidRPr="006A316D">
        <w:rPr>
          <w:rFonts w:ascii="Times New Roman" w:hAnsi="Times New Roman" w:cs="Times New Roman"/>
          <w:b/>
          <w:bCs/>
          <w:sz w:val="24"/>
          <w:szCs w:val="24"/>
        </w:rPr>
        <w:t>hastalıkları</w:t>
      </w:r>
      <w:r w:rsidRPr="006A316D">
        <w:rPr>
          <w:rFonts w:ascii="Times New Roman" w:hAnsi="Times New Roman" w:cs="Times New Roman"/>
          <w:b/>
          <w:bCs/>
          <w:sz w:val="24"/>
          <w:szCs w:val="24"/>
        </w:rPr>
        <w:t>:</w:t>
      </w:r>
    </w:p>
    <w:p w14:paraId="3FC103CF" w14:textId="77777777" w:rsidR="00ED2805"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Yaygın </w:t>
      </w:r>
      <w:r w:rsidR="003E5DC3" w:rsidRPr="006A316D">
        <w:rPr>
          <w:rFonts w:ascii="Times New Roman" w:hAnsi="Times New Roman" w:cs="Times New Roman"/>
          <w:sz w:val="24"/>
          <w:szCs w:val="24"/>
        </w:rPr>
        <w:t>olmayan: Vertigo</w:t>
      </w:r>
    </w:p>
    <w:p w14:paraId="6ABBE447" w14:textId="77777777" w:rsidR="00ED2805" w:rsidRPr="006A316D" w:rsidRDefault="00ED2805" w:rsidP="003E5DC3">
      <w:pPr>
        <w:spacing w:after="0" w:line="240" w:lineRule="auto"/>
        <w:ind w:left="284"/>
        <w:jc w:val="both"/>
        <w:rPr>
          <w:rFonts w:ascii="Times New Roman" w:hAnsi="Times New Roman" w:cs="Times New Roman"/>
          <w:sz w:val="24"/>
          <w:szCs w:val="24"/>
        </w:rPr>
      </w:pPr>
    </w:p>
    <w:p w14:paraId="45316DF4" w14:textId="77777777" w:rsidR="00ED2805" w:rsidRPr="006A316D" w:rsidRDefault="00ED2805" w:rsidP="003E5DC3">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 xml:space="preserve">Kardiyak </w:t>
      </w:r>
      <w:bookmarkStart w:id="3" w:name="_Hlk32410153"/>
      <w:r w:rsidR="0067303F" w:rsidRPr="006A316D">
        <w:rPr>
          <w:rFonts w:ascii="Times New Roman" w:hAnsi="Times New Roman" w:cs="Times New Roman"/>
          <w:b/>
          <w:bCs/>
          <w:sz w:val="24"/>
          <w:szCs w:val="24"/>
        </w:rPr>
        <w:t>hastalıklar</w:t>
      </w:r>
      <w:bookmarkEnd w:id="3"/>
      <w:r w:rsidRPr="006A316D">
        <w:rPr>
          <w:rFonts w:ascii="Times New Roman" w:hAnsi="Times New Roman" w:cs="Times New Roman"/>
          <w:b/>
          <w:bCs/>
          <w:sz w:val="24"/>
          <w:szCs w:val="24"/>
        </w:rPr>
        <w:t>:</w:t>
      </w:r>
    </w:p>
    <w:p w14:paraId="145414A4" w14:textId="77777777" w:rsidR="00ED2805" w:rsidRPr="006A316D" w:rsidRDefault="003E5DC3"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Seyrek: QT</w:t>
      </w:r>
      <w:r w:rsidR="00ED2805" w:rsidRPr="006A316D">
        <w:rPr>
          <w:rFonts w:ascii="Times New Roman" w:hAnsi="Times New Roman" w:cs="Times New Roman"/>
          <w:sz w:val="24"/>
          <w:szCs w:val="24"/>
        </w:rPr>
        <w:t xml:space="preserve"> uzaması, </w:t>
      </w:r>
      <w:r w:rsidR="0067303F" w:rsidRPr="006A316D">
        <w:rPr>
          <w:rFonts w:ascii="Times New Roman" w:hAnsi="Times New Roman" w:cs="Times New Roman"/>
          <w:sz w:val="24"/>
          <w:szCs w:val="24"/>
        </w:rPr>
        <w:t>Torsade</w:t>
      </w:r>
      <w:r w:rsidR="00EF1957" w:rsidRPr="006A316D">
        <w:rPr>
          <w:rFonts w:ascii="Times New Roman" w:hAnsi="Times New Roman" w:cs="Times New Roman"/>
          <w:sz w:val="24"/>
          <w:szCs w:val="24"/>
        </w:rPr>
        <w:t>s</w:t>
      </w:r>
      <w:r w:rsidR="0067303F" w:rsidRPr="006A316D">
        <w:rPr>
          <w:rFonts w:ascii="Times New Roman" w:hAnsi="Times New Roman" w:cs="Times New Roman"/>
          <w:sz w:val="24"/>
          <w:szCs w:val="24"/>
        </w:rPr>
        <w:t xml:space="preserve"> </w:t>
      </w:r>
      <w:r w:rsidR="00ED2805" w:rsidRPr="006A316D">
        <w:rPr>
          <w:rFonts w:ascii="Times New Roman" w:hAnsi="Times New Roman" w:cs="Times New Roman"/>
          <w:sz w:val="24"/>
          <w:szCs w:val="24"/>
        </w:rPr>
        <w:t>de pointes</w:t>
      </w:r>
      <w:r w:rsidR="0067303F" w:rsidRPr="006A316D">
        <w:rPr>
          <w:rFonts w:ascii="Times New Roman" w:hAnsi="Times New Roman" w:cs="Times New Roman"/>
          <w:sz w:val="24"/>
          <w:szCs w:val="24"/>
        </w:rPr>
        <w:t xml:space="preserve"> (</w:t>
      </w:r>
      <w:r w:rsidR="00EF1957" w:rsidRPr="006A316D">
        <w:rPr>
          <w:rFonts w:ascii="Times New Roman" w:hAnsi="Times New Roman" w:cs="Times New Roman"/>
          <w:sz w:val="24"/>
          <w:szCs w:val="24"/>
        </w:rPr>
        <w:t>Bkz.</w:t>
      </w:r>
      <w:r w:rsidR="0067303F" w:rsidRPr="006A316D">
        <w:rPr>
          <w:rFonts w:ascii="Times New Roman" w:hAnsi="Times New Roman" w:cs="Times New Roman"/>
          <w:sz w:val="24"/>
          <w:szCs w:val="24"/>
        </w:rPr>
        <w:t xml:space="preserve"> Bölüm 4.4)</w:t>
      </w:r>
    </w:p>
    <w:p w14:paraId="78A899BD" w14:textId="77777777" w:rsidR="00ED2805" w:rsidRPr="006A316D" w:rsidRDefault="00ED2805" w:rsidP="003E5DC3">
      <w:pPr>
        <w:spacing w:after="0" w:line="240" w:lineRule="auto"/>
        <w:ind w:left="284"/>
        <w:jc w:val="both"/>
        <w:rPr>
          <w:rFonts w:ascii="Times New Roman" w:hAnsi="Times New Roman" w:cs="Times New Roman"/>
          <w:sz w:val="24"/>
          <w:szCs w:val="24"/>
        </w:rPr>
      </w:pPr>
    </w:p>
    <w:p w14:paraId="771ED068" w14:textId="77777777" w:rsidR="00ED2805" w:rsidRPr="006A316D" w:rsidRDefault="00ED2805" w:rsidP="003E5DC3">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 xml:space="preserve">Gastrointestinal </w:t>
      </w:r>
      <w:r w:rsidR="0067303F" w:rsidRPr="006A316D">
        <w:rPr>
          <w:rFonts w:ascii="Times New Roman" w:hAnsi="Times New Roman" w:cs="Times New Roman"/>
          <w:b/>
          <w:bCs/>
          <w:sz w:val="24"/>
          <w:szCs w:val="24"/>
        </w:rPr>
        <w:t>hastalıklar</w:t>
      </w:r>
      <w:r w:rsidRPr="006A316D">
        <w:rPr>
          <w:rFonts w:ascii="Times New Roman" w:hAnsi="Times New Roman" w:cs="Times New Roman"/>
          <w:b/>
          <w:bCs/>
          <w:sz w:val="24"/>
          <w:szCs w:val="24"/>
        </w:rPr>
        <w:t>:</w:t>
      </w:r>
    </w:p>
    <w:p w14:paraId="742E2395" w14:textId="77777777" w:rsidR="00ED2805" w:rsidRPr="006A316D" w:rsidRDefault="003E5DC3"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Yaygın: Karın</w:t>
      </w:r>
      <w:r w:rsidR="00ED2805" w:rsidRPr="006A316D">
        <w:rPr>
          <w:rFonts w:ascii="Times New Roman" w:hAnsi="Times New Roman" w:cs="Times New Roman"/>
          <w:sz w:val="24"/>
          <w:szCs w:val="24"/>
        </w:rPr>
        <w:t xml:space="preserve"> ağrısı, diyare, bulantı</w:t>
      </w:r>
      <w:r w:rsidR="00851E5D" w:rsidRPr="006A316D">
        <w:rPr>
          <w:rFonts w:ascii="Times New Roman" w:hAnsi="Times New Roman" w:cs="Times New Roman"/>
          <w:sz w:val="24"/>
          <w:szCs w:val="24"/>
        </w:rPr>
        <w:t>,</w:t>
      </w:r>
      <w:r w:rsidR="00ED2805" w:rsidRPr="006A316D">
        <w:rPr>
          <w:rFonts w:ascii="Times New Roman" w:hAnsi="Times New Roman" w:cs="Times New Roman"/>
          <w:sz w:val="24"/>
          <w:szCs w:val="24"/>
        </w:rPr>
        <w:t xml:space="preserve"> kusma</w:t>
      </w:r>
    </w:p>
    <w:p w14:paraId="29180A6F" w14:textId="77777777" w:rsidR="00ED2805"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Yaygın </w:t>
      </w:r>
      <w:r w:rsidR="003E5DC3" w:rsidRPr="006A316D">
        <w:rPr>
          <w:rFonts w:ascii="Times New Roman" w:hAnsi="Times New Roman" w:cs="Times New Roman"/>
          <w:sz w:val="24"/>
          <w:szCs w:val="24"/>
        </w:rPr>
        <w:t>olmayan:</w:t>
      </w:r>
      <w:r w:rsidR="0067303F" w:rsidRPr="006A316D">
        <w:rPr>
          <w:rFonts w:ascii="Times New Roman" w:hAnsi="Times New Roman" w:cs="Times New Roman"/>
          <w:sz w:val="24"/>
          <w:szCs w:val="24"/>
        </w:rPr>
        <w:t xml:space="preserve"> Konstipasyon,</w:t>
      </w:r>
      <w:r w:rsidR="003E5DC3" w:rsidRPr="006A316D">
        <w:rPr>
          <w:rFonts w:ascii="Times New Roman" w:hAnsi="Times New Roman" w:cs="Times New Roman"/>
          <w:sz w:val="24"/>
          <w:szCs w:val="24"/>
        </w:rPr>
        <w:t xml:space="preserve"> </w:t>
      </w:r>
      <w:r w:rsidR="0067303F" w:rsidRPr="006A316D">
        <w:rPr>
          <w:rFonts w:ascii="Times New Roman" w:hAnsi="Times New Roman" w:cs="Times New Roman"/>
          <w:sz w:val="24"/>
          <w:szCs w:val="24"/>
        </w:rPr>
        <w:t>dispepsi</w:t>
      </w:r>
      <w:r w:rsidRPr="006A316D">
        <w:rPr>
          <w:rFonts w:ascii="Times New Roman" w:hAnsi="Times New Roman" w:cs="Times New Roman"/>
          <w:sz w:val="24"/>
          <w:szCs w:val="24"/>
        </w:rPr>
        <w:t>, gaz ve ağız kuruluğu.</w:t>
      </w:r>
    </w:p>
    <w:p w14:paraId="1A550F2E" w14:textId="77777777" w:rsidR="00ED2805" w:rsidRPr="006A316D" w:rsidRDefault="00ED2805" w:rsidP="003E5DC3">
      <w:pPr>
        <w:spacing w:after="0" w:line="240" w:lineRule="auto"/>
        <w:ind w:left="284"/>
        <w:jc w:val="both"/>
        <w:rPr>
          <w:rFonts w:ascii="Times New Roman" w:hAnsi="Times New Roman" w:cs="Times New Roman"/>
          <w:sz w:val="24"/>
          <w:szCs w:val="24"/>
        </w:rPr>
      </w:pPr>
    </w:p>
    <w:p w14:paraId="4C341CCB" w14:textId="77777777" w:rsidR="00ED2805" w:rsidRPr="006A316D" w:rsidRDefault="00ED2805" w:rsidP="003E5DC3">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Hepato-bili</w:t>
      </w:r>
      <w:r w:rsidR="0098088F" w:rsidRPr="006A316D">
        <w:rPr>
          <w:rFonts w:ascii="Times New Roman" w:hAnsi="Times New Roman" w:cs="Times New Roman"/>
          <w:b/>
          <w:bCs/>
          <w:sz w:val="24"/>
          <w:szCs w:val="24"/>
        </w:rPr>
        <w:t>y</w:t>
      </w:r>
      <w:r w:rsidRPr="006A316D">
        <w:rPr>
          <w:rFonts w:ascii="Times New Roman" w:hAnsi="Times New Roman" w:cs="Times New Roman"/>
          <w:b/>
          <w:bCs/>
          <w:sz w:val="24"/>
          <w:szCs w:val="24"/>
        </w:rPr>
        <w:t xml:space="preserve">er </w:t>
      </w:r>
      <w:bookmarkStart w:id="4" w:name="_Hlk32411908"/>
      <w:r w:rsidR="0067303F" w:rsidRPr="006A316D">
        <w:rPr>
          <w:rFonts w:ascii="Times New Roman" w:hAnsi="Times New Roman" w:cs="Times New Roman"/>
          <w:b/>
          <w:bCs/>
          <w:sz w:val="24"/>
          <w:szCs w:val="24"/>
        </w:rPr>
        <w:t>hastalıklar</w:t>
      </w:r>
      <w:bookmarkEnd w:id="4"/>
      <w:r w:rsidRPr="006A316D">
        <w:rPr>
          <w:rFonts w:ascii="Times New Roman" w:hAnsi="Times New Roman" w:cs="Times New Roman"/>
          <w:b/>
          <w:bCs/>
          <w:sz w:val="24"/>
          <w:szCs w:val="24"/>
        </w:rPr>
        <w:t>:</w:t>
      </w:r>
    </w:p>
    <w:p w14:paraId="064183B9" w14:textId="77777777" w:rsidR="00ED2805" w:rsidRPr="006A316D" w:rsidRDefault="003E5DC3"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Yaygın:</w:t>
      </w:r>
      <w:r w:rsidR="006C7995" w:rsidRPr="006A316D">
        <w:rPr>
          <w:rFonts w:ascii="Times New Roman" w:hAnsi="Times New Roman" w:cs="Times New Roman"/>
          <w:sz w:val="24"/>
          <w:szCs w:val="24"/>
        </w:rPr>
        <w:t xml:space="preserve"> Alanin aminotransferazda artış,</w:t>
      </w:r>
      <w:r w:rsidR="00ED2805" w:rsidRPr="006A316D">
        <w:rPr>
          <w:rFonts w:ascii="Times New Roman" w:hAnsi="Times New Roman" w:cs="Times New Roman"/>
          <w:sz w:val="24"/>
          <w:szCs w:val="24"/>
        </w:rPr>
        <w:t xml:space="preserve"> aspartat aminotransferazda artış, kan</w:t>
      </w:r>
      <w:r w:rsidRPr="006A316D">
        <w:rPr>
          <w:rFonts w:ascii="Times New Roman" w:hAnsi="Times New Roman" w:cs="Times New Roman"/>
          <w:sz w:val="24"/>
          <w:szCs w:val="24"/>
        </w:rPr>
        <w:t xml:space="preserve"> </w:t>
      </w:r>
      <w:r w:rsidR="00ED2805" w:rsidRPr="006A316D">
        <w:rPr>
          <w:rFonts w:ascii="Times New Roman" w:hAnsi="Times New Roman" w:cs="Times New Roman"/>
          <w:sz w:val="24"/>
          <w:szCs w:val="24"/>
        </w:rPr>
        <w:t>alkalin fosfatazda artış</w:t>
      </w:r>
      <w:r w:rsidR="006C7995" w:rsidRPr="006A316D">
        <w:rPr>
          <w:rFonts w:ascii="Times New Roman" w:hAnsi="Times New Roman" w:cs="Times New Roman"/>
          <w:sz w:val="24"/>
          <w:szCs w:val="24"/>
        </w:rPr>
        <w:t xml:space="preserve"> (</w:t>
      </w:r>
      <w:r w:rsidR="00EF1957" w:rsidRPr="006A316D">
        <w:rPr>
          <w:rFonts w:ascii="Times New Roman" w:hAnsi="Times New Roman" w:cs="Times New Roman"/>
          <w:sz w:val="24"/>
          <w:szCs w:val="24"/>
        </w:rPr>
        <w:t>B</w:t>
      </w:r>
      <w:r w:rsidR="006C7995" w:rsidRPr="006A316D">
        <w:rPr>
          <w:rFonts w:ascii="Times New Roman" w:hAnsi="Times New Roman" w:cs="Times New Roman"/>
          <w:sz w:val="24"/>
          <w:szCs w:val="24"/>
        </w:rPr>
        <w:t>kz. Bölüm 4.4)</w:t>
      </w:r>
    </w:p>
    <w:p w14:paraId="1A66F9DF" w14:textId="77777777" w:rsidR="00ED2805"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Yaygın </w:t>
      </w:r>
      <w:r w:rsidR="003E5DC3" w:rsidRPr="006A316D">
        <w:rPr>
          <w:rFonts w:ascii="Times New Roman" w:hAnsi="Times New Roman" w:cs="Times New Roman"/>
          <w:sz w:val="24"/>
          <w:szCs w:val="24"/>
        </w:rPr>
        <w:t>olmayan: Kolestaz</w:t>
      </w:r>
      <w:r w:rsidRPr="006A316D">
        <w:rPr>
          <w:rFonts w:ascii="Times New Roman" w:hAnsi="Times New Roman" w:cs="Times New Roman"/>
          <w:sz w:val="24"/>
          <w:szCs w:val="24"/>
        </w:rPr>
        <w:t>, sarılık, bilirubinde artış</w:t>
      </w:r>
      <w:r w:rsidR="006C7995" w:rsidRPr="006A316D">
        <w:rPr>
          <w:rFonts w:ascii="Times New Roman" w:hAnsi="Times New Roman" w:cs="Times New Roman"/>
          <w:sz w:val="24"/>
          <w:szCs w:val="24"/>
        </w:rPr>
        <w:t xml:space="preserve"> (</w:t>
      </w:r>
      <w:r w:rsidR="00EF1957" w:rsidRPr="006A316D">
        <w:rPr>
          <w:rFonts w:ascii="Times New Roman" w:hAnsi="Times New Roman" w:cs="Times New Roman"/>
          <w:sz w:val="24"/>
          <w:szCs w:val="24"/>
        </w:rPr>
        <w:t>B</w:t>
      </w:r>
      <w:r w:rsidR="006C7995" w:rsidRPr="006A316D">
        <w:rPr>
          <w:rFonts w:ascii="Times New Roman" w:hAnsi="Times New Roman" w:cs="Times New Roman"/>
          <w:sz w:val="24"/>
          <w:szCs w:val="24"/>
        </w:rPr>
        <w:t>kz. Bölüm 4.4)</w:t>
      </w:r>
    </w:p>
    <w:p w14:paraId="7B8C932F" w14:textId="77777777" w:rsidR="00ED2805" w:rsidRPr="006A316D" w:rsidRDefault="003E5DC3"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Seyrek: Nadiren</w:t>
      </w:r>
      <w:r w:rsidR="00ED2805" w:rsidRPr="006A316D">
        <w:rPr>
          <w:rFonts w:ascii="Times New Roman" w:hAnsi="Times New Roman" w:cs="Times New Roman"/>
          <w:sz w:val="24"/>
          <w:szCs w:val="24"/>
        </w:rPr>
        <w:t xml:space="preserve"> ölümle de sonuçlanan hepatik toksisite, hepatik yetmezlik,</w:t>
      </w:r>
      <w:r w:rsidRPr="006A316D">
        <w:rPr>
          <w:rFonts w:ascii="Times New Roman" w:hAnsi="Times New Roman" w:cs="Times New Roman"/>
          <w:sz w:val="24"/>
          <w:szCs w:val="24"/>
        </w:rPr>
        <w:t xml:space="preserve"> </w:t>
      </w:r>
      <w:r w:rsidR="00ED2805" w:rsidRPr="006A316D">
        <w:rPr>
          <w:rFonts w:ascii="Times New Roman" w:hAnsi="Times New Roman" w:cs="Times New Roman"/>
          <w:sz w:val="24"/>
          <w:szCs w:val="24"/>
        </w:rPr>
        <w:t>hepatit, hepatosellüler nekroz, hepatosellüler hasar</w:t>
      </w:r>
      <w:r w:rsidR="006C7995" w:rsidRPr="006A316D">
        <w:rPr>
          <w:rFonts w:ascii="Times New Roman" w:hAnsi="Times New Roman" w:cs="Times New Roman"/>
          <w:sz w:val="24"/>
          <w:szCs w:val="24"/>
        </w:rPr>
        <w:t xml:space="preserve"> (</w:t>
      </w:r>
      <w:r w:rsidR="00EF1957" w:rsidRPr="006A316D">
        <w:rPr>
          <w:rFonts w:ascii="Times New Roman" w:hAnsi="Times New Roman" w:cs="Times New Roman"/>
          <w:sz w:val="24"/>
          <w:szCs w:val="24"/>
        </w:rPr>
        <w:t>B</w:t>
      </w:r>
      <w:r w:rsidR="006C7995" w:rsidRPr="006A316D">
        <w:rPr>
          <w:rFonts w:ascii="Times New Roman" w:hAnsi="Times New Roman" w:cs="Times New Roman"/>
          <w:sz w:val="24"/>
          <w:szCs w:val="24"/>
        </w:rPr>
        <w:t>kz. Bölüm 4.4)</w:t>
      </w:r>
    </w:p>
    <w:p w14:paraId="5AF77499" w14:textId="77777777" w:rsidR="00ED2805" w:rsidRPr="006A316D" w:rsidRDefault="00ED2805" w:rsidP="003E5DC3">
      <w:pPr>
        <w:spacing w:after="0" w:line="240" w:lineRule="auto"/>
        <w:ind w:left="284"/>
        <w:jc w:val="both"/>
        <w:rPr>
          <w:rFonts w:ascii="Times New Roman" w:hAnsi="Times New Roman" w:cs="Times New Roman"/>
          <w:sz w:val="24"/>
          <w:szCs w:val="24"/>
        </w:rPr>
      </w:pPr>
    </w:p>
    <w:p w14:paraId="6240FB9B" w14:textId="77777777" w:rsidR="00ED2805" w:rsidRPr="006A316D" w:rsidRDefault="00ED2805" w:rsidP="003E5DC3">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 xml:space="preserve">Deri ve deri altı doku </w:t>
      </w:r>
      <w:r w:rsidR="009C751E" w:rsidRPr="006A316D">
        <w:rPr>
          <w:rFonts w:ascii="Times New Roman" w:hAnsi="Times New Roman" w:cs="Times New Roman"/>
          <w:b/>
          <w:bCs/>
          <w:sz w:val="24"/>
          <w:szCs w:val="24"/>
        </w:rPr>
        <w:t>hastalıkları</w:t>
      </w:r>
      <w:r w:rsidRPr="006A316D">
        <w:rPr>
          <w:rFonts w:ascii="Times New Roman" w:hAnsi="Times New Roman" w:cs="Times New Roman"/>
          <w:b/>
          <w:bCs/>
          <w:sz w:val="24"/>
          <w:szCs w:val="24"/>
        </w:rPr>
        <w:t>:</w:t>
      </w:r>
    </w:p>
    <w:p w14:paraId="720143F8" w14:textId="77777777" w:rsidR="00ED2805" w:rsidRPr="006A316D" w:rsidRDefault="003E5DC3"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Yaygın: Döküntü</w:t>
      </w:r>
    </w:p>
    <w:p w14:paraId="3599790E" w14:textId="77777777" w:rsidR="00ED2805"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Yaygın </w:t>
      </w:r>
      <w:r w:rsidR="003E5DC3" w:rsidRPr="006A316D">
        <w:rPr>
          <w:rFonts w:ascii="Times New Roman" w:hAnsi="Times New Roman" w:cs="Times New Roman"/>
          <w:sz w:val="24"/>
          <w:szCs w:val="24"/>
        </w:rPr>
        <w:t>olmayan: Prurit</w:t>
      </w:r>
      <w:r w:rsidRPr="006A316D">
        <w:rPr>
          <w:rFonts w:ascii="Times New Roman" w:hAnsi="Times New Roman" w:cs="Times New Roman"/>
          <w:sz w:val="24"/>
          <w:szCs w:val="24"/>
        </w:rPr>
        <w:t>, ürtiker, terlemede artış, ilaç erüpsiyonu</w:t>
      </w:r>
      <w:r w:rsidR="009C751E" w:rsidRPr="006A316D">
        <w:rPr>
          <w:rFonts w:ascii="Times New Roman" w:hAnsi="Times New Roman" w:cs="Times New Roman"/>
          <w:sz w:val="24"/>
          <w:szCs w:val="24"/>
        </w:rPr>
        <w:t xml:space="preserve"> (</w:t>
      </w:r>
      <w:r w:rsidR="00EF1957" w:rsidRPr="006A316D">
        <w:rPr>
          <w:rFonts w:ascii="Times New Roman" w:hAnsi="Times New Roman" w:cs="Times New Roman"/>
          <w:sz w:val="24"/>
          <w:szCs w:val="24"/>
        </w:rPr>
        <w:t>f</w:t>
      </w:r>
      <w:r w:rsidR="009C751E" w:rsidRPr="006A316D">
        <w:rPr>
          <w:rFonts w:ascii="Times New Roman" w:hAnsi="Times New Roman" w:cs="Times New Roman"/>
          <w:sz w:val="24"/>
          <w:szCs w:val="24"/>
        </w:rPr>
        <w:t>iks ilaç erüpsiyonu dahil olacak şekilde) (</w:t>
      </w:r>
      <w:r w:rsidR="00EF1957" w:rsidRPr="006A316D">
        <w:rPr>
          <w:rFonts w:ascii="Times New Roman" w:hAnsi="Times New Roman" w:cs="Times New Roman"/>
          <w:sz w:val="24"/>
          <w:szCs w:val="24"/>
        </w:rPr>
        <w:t>B</w:t>
      </w:r>
      <w:r w:rsidR="009C751E" w:rsidRPr="006A316D">
        <w:rPr>
          <w:rFonts w:ascii="Times New Roman" w:hAnsi="Times New Roman" w:cs="Times New Roman"/>
          <w:sz w:val="24"/>
          <w:szCs w:val="24"/>
        </w:rPr>
        <w:t>kz. Bölüm 4.4)</w:t>
      </w:r>
    </w:p>
    <w:p w14:paraId="5BC5E095" w14:textId="77777777" w:rsidR="00ED2805" w:rsidRPr="006A316D" w:rsidRDefault="003E5DC3"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Seyrek: Toksik</w:t>
      </w:r>
      <w:r w:rsidR="00ED2805" w:rsidRPr="006A316D">
        <w:rPr>
          <w:rFonts w:ascii="Times New Roman" w:hAnsi="Times New Roman" w:cs="Times New Roman"/>
          <w:sz w:val="24"/>
          <w:szCs w:val="24"/>
        </w:rPr>
        <w:t xml:space="preserve"> epidermal nekroliz, Stevens-Johnson sendromu</w:t>
      </w:r>
      <w:r w:rsidR="009C751E" w:rsidRPr="006A316D">
        <w:rPr>
          <w:rFonts w:ascii="Times New Roman" w:hAnsi="Times New Roman" w:cs="Times New Roman"/>
          <w:sz w:val="24"/>
          <w:szCs w:val="24"/>
        </w:rPr>
        <w:t>,</w:t>
      </w:r>
      <w:r w:rsidR="00ED2805" w:rsidRPr="006A316D">
        <w:rPr>
          <w:rFonts w:ascii="Times New Roman" w:hAnsi="Times New Roman" w:cs="Times New Roman"/>
          <w:sz w:val="24"/>
          <w:szCs w:val="24"/>
        </w:rPr>
        <w:t xml:space="preserve"> akut yaygın</w:t>
      </w:r>
      <w:r w:rsidRPr="006A316D">
        <w:rPr>
          <w:rFonts w:ascii="Times New Roman" w:hAnsi="Times New Roman" w:cs="Times New Roman"/>
          <w:sz w:val="24"/>
          <w:szCs w:val="24"/>
        </w:rPr>
        <w:t xml:space="preserve"> </w:t>
      </w:r>
      <w:r w:rsidR="00ED2805" w:rsidRPr="006A316D">
        <w:rPr>
          <w:rFonts w:ascii="Times New Roman" w:hAnsi="Times New Roman" w:cs="Times New Roman"/>
          <w:sz w:val="24"/>
          <w:szCs w:val="24"/>
        </w:rPr>
        <w:t>ekzantematöz</w:t>
      </w:r>
      <w:r w:rsidRPr="006A316D">
        <w:rPr>
          <w:rFonts w:ascii="Times New Roman" w:hAnsi="Times New Roman" w:cs="Times New Roman"/>
          <w:sz w:val="24"/>
          <w:szCs w:val="24"/>
        </w:rPr>
        <w:t xml:space="preserve"> </w:t>
      </w:r>
      <w:r w:rsidR="00ED2805" w:rsidRPr="006A316D">
        <w:rPr>
          <w:rFonts w:ascii="Times New Roman" w:hAnsi="Times New Roman" w:cs="Times New Roman"/>
          <w:sz w:val="24"/>
          <w:szCs w:val="24"/>
        </w:rPr>
        <w:t>püstüloz eksfoliyatif deri hastalıkları, yüzde ödem, saç</w:t>
      </w:r>
      <w:r w:rsidRPr="006A316D">
        <w:rPr>
          <w:rFonts w:ascii="Times New Roman" w:hAnsi="Times New Roman" w:cs="Times New Roman"/>
          <w:sz w:val="24"/>
          <w:szCs w:val="24"/>
        </w:rPr>
        <w:t xml:space="preserve"> dökülmesi</w:t>
      </w:r>
    </w:p>
    <w:p w14:paraId="51458D71" w14:textId="77777777" w:rsidR="009C751E" w:rsidRPr="006A316D" w:rsidRDefault="009C751E"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Bilinmiyor: Eozinofili ve sistemik semptomlar ile gözlenen ilaç reaksiyonu (DRESS)</w:t>
      </w:r>
    </w:p>
    <w:p w14:paraId="745015AB" w14:textId="5F54AE0E" w:rsidR="00ED2805" w:rsidRPr="006A316D" w:rsidRDefault="00ED2805" w:rsidP="003E5DC3">
      <w:pPr>
        <w:spacing w:after="0" w:line="240" w:lineRule="auto"/>
        <w:ind w:left="284"/>
        <w:jc w:val="both"/>
        <w:rPr>
          <w:rFonts w:ascii="Times New Roman" w:hAnsi="Times New Roman" w:cs="Times New Roman"/>
          <w:sz w:val="24"/>
          <w:szCs w:val="24"/>
        </w:rPr>
      </w:pPr>
    </w:p>
    <w:p w14:paraId="4EA64420" w14:textId="77777777" w:rsidR="00F22692" w:rsidRPr="006A316D" w:rsidRDefault="00F22692" w:rsidP="003E5DC3">
      <w:pPr>
        <w:spacing w:after="0" w:line="240" w:lineRule="auto"/>
        <w:ind w:left="284"/>
        <w:jc w:val="both"/>
        <w:rPr>
          <w:rFonts w:ascii="Times New Roman" w:hAnsi="Times New Roman" w:cs="Times New Roman"/>
          <w:sz w:val="24"/>
          <w:szCs w:val="24"/>
        </w:rPr>
      </w:pPr>
    </w:p>
    <w:p w14:paraId="3F5C375C" w14:textId="77777777" w:rsidR="00ED2805" w:rsidRPr="006A316D" w:rsidRDefault="00ED2805" w:rsidP="003E5DC3">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lastRenderedPageBreak/>
        <w:t xml:space="preserve">Kas-iskelet </w:t>
      </w:r>
      <w:r w:rsidR="00851E5D" w:rsidRPr="006A316D">
        <w:rPr>
          <w:rFonts w:ascii="Times New Roman" w:hAnsi="Times New Roman" w:cs="Times New Roman"/>
          <w:b/>
          <w:bCs/>
          <w:sz w:val="24"/>
          <w:szCs w:val="24"/>
        </w:rPr>
        <w:t>hastalıkları</w:t>
      </w:r>
      <w:r w:rsidRPr="006A316D">
        <w:rPr>
          <w:rFonts w:ascii="Times New Roman" w:hAnsi="Times New Roman" w:cs="Times New Roman"/>
          <w:b/>
          <w:bCs/>
          <w:sz w:val="24"/>
          <w:szCs w:val="24"/>
        </w:rPr>
        <w:t xml:space="preserve">, bağ doku ve kemik </w:t>
      </w:r>
      <w:r w:rsidR="009C751E" w:rsidRPr="006A316D">
        <w:rPr>
          <w:rFonts w:ascii="Times New Roman" w:hAnsi="Times New Roman" w:cs="Times New Roman"/>
          <w:b/>
          <w:bCs/>
          <w:sz w:val="24"/>
          <w:szCs w:val="24"/>
        </w:rPr>
        <w:t>hastalıkları:</w:t>
      </w:r>
    </w:p>
    <w:p w14:paraId="4FC4902C" w14:textId="77777777" w:rsidR="00ED2805"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Yaygın </w:t>
      </w:r>
      <w:r w:rsidR="003E5DC3" w:rsidRPr="006A316D">
        <w:rPr>
          <w:rFonts w:ascii="Times New Roman" w:hAnsi="Times New Roman" w:cs="Times New Roman"/>
          <w:sz w:val="24"/>
          <w:szCs w:val="24"/>
        </w:rPr>
        <w:t>olmayan: Miyalji</w:t>
      </w:r>
    </w:p>
    <w:p w14:paraId="42DBDA53" w14:textId="77777777" w:rsidR="003E5DC3" w:rsidRPr="006A316D" w:rsidRDefault="003E5DC3" w:rsidP="003E5DC3">
      <w:pPr>
        <w:spacing w:after="0" w:line="240" w:lineRule="auto"/>
        <w:ind w:left="284"/>
        <w:jc w:val="both"/>
        <w:rPr>
          <w:rFonts w:ascii="Times New Roman" w:hAnsi="Times New Roman" w:cs="Times New Roman"/>
          <w:sz w:val="24"/>
          <w:szCs w:val="24"/>
        </w:rPr>
      </w:pPr>
    </w:p>
    <w:p w14:paraId="0753830A" w14:textId="77777777" w:rsidR="00ED2805" w:rsidRPr="006A316D" w:rsidRDefault="00ED2805" w:rsidP="003E5DC3">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 xml:space="preserve">Genel </w:t>
      </w:r>
      <w:r w:rsidR="0044152C" w:rsidRPr="006A316D">
        <w:rPr>
          <w:rFonts w:ascii="Times New Roman" w:hAnsi="Times New Roman" w:cs="Times New Roman"/>
          <w:b/>
          <w:bCs/>
          <w:sz w:val="24"/>
          <w:szCs w:val="24"/>
        </w:rPr>
        <w:t>hastalıklar</w:t>
      </w:r>
      <w:r w:rsidRPr="006A316D">
        <w:rPr>
          <w:rFonts w:ascii="Times New Roman" w:hAnsi="Times New Roman" w:cs="Times New Roman"/>
          <w:b/>
          <w:bCs/>
          <w:sz w:val="24"/>
          <w:szCs w:val="24"/>
        </w:rPr>
        <w:t xml:space="preserve"> ve uygulama bölgesine ilişkin </w:t>
      </w:r>
      <w:r w:rsidR="009C751E" w:rsidRPr="006A316D">
        <w:rPr>
          <w:rFonts w:ascii="Times New Roman" w:hAnsi="Times New Roman" w:cs="Times New Roman"/>
          <w:b/>
          <w:bCs/>
          <w:sz w:val="24"/>
          <w:szCs w:val="24"/>
        </w:rPr>
        <w:t>hastalıklar:</w:t>
      </w:r>
    </w:p>
    <w:p w14:paraId="29D6C4CA" w14:textId="77777777" w:rsidR="00ED2805"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Yaygın </w:t>
      </w:r>
      <w:r w:rsidR="003E5DC3" w:rsidRPr="006A316D">
        <w:rPr>
          <w:rFonts w:ascii="Times New Roman" w:hAnsi="Times New Roman" w:cs="Times New Roman"/>
          <w:sz w:val="24"/>
          <w:szCs w:val="24"/>
        </w:rPr>
        <w:t>olmayan: Yorgunluk</w:t>
      </w:r>
      <w:r w:rsidRPr="006A316D">
        <w:rPr>
          <w:rFonts w:ascii="Times New Roman" w:hAnsi="Times New Roman" w:cs="Times New Roman"/>
          <w:sz w:val="24"/>
          <w:szCs w:val="24"/>
        </w:rPr>
        <w:t>, keyifsizlik, asteni, ateş</w:t>
      </w:r>
    </w:p>
    <w:p w14:paraId="2F484F07" w14:textId="77777777" w:rsidR="009C751E" w:rsidRPr="006A316D" w:rsidRDefault="009C751E" w:rsidP="003E5DC3">
      <w:pPr>
        <w:spacing w:after="0" w:line="240" w:lineRule="auto"/>
        <w:ind w:left="284"/>
        <w:jc w:val="both"/>
        <w:rPr>
          <w:rFonts w:ascii="Times New Roman" w:hAnsi="Times New Roman" w:cs="Times New Roman"/>
          <w:b/>
          <w:bCs/>
          <w:sz w:val="24"/>
          <w:szCs w:val="24"/>
        </w:rPr>
      </w:pPr>
    </w:p>
    <w:p w14:paraId="040C8AA0" w14:textId="77777777" w:rsidR="00ED2805" w:rsidRPr="006A316D" w:rsidRDefault="00ED2805" w:rsidP="003E5DC3">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Pediyatrik hastalar</w:t>
      </w:r>
    </w:p>
    <w:p w14:paraId="702ECFBF" w14:textId="77777777" w:rsidR="00ED2805"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Pediyatrik klinik araştırmalar sırasında kaydedilen advers olay insidansı ve modeli ile</w:t>
      </w:r>
      <w:r w:rsidR="003E5DC3" w:rsidRPr="006A316D">
        <w:rPr>
          <w:rFonts w:ascii="Times New Roman" w:hAnsi="Times New Roman" w:cs="Times New Roman"/>
          <w:sz w:val="24"/>
          <w:szCs w:val="24"/>
        </w:rPr>
        <w:t xml:space="preserve"> </w:t>
      </w:r>
      <w:r w:rsidR="008B2BD3" w:rsidRPr="006A316D">
        <w:rPr>
          <w:rFonts w:ascii="Times New Roman" w:hAnsi="Times New Roman" w:cs="Times New Roman"/>
          <w:sz w:val="24"/>
          <w:szCs w:val="24"/>
        </w:rPr>
        <w:t>laboratuvar</w:t>
      </w:r>
      <w:r w:rsidRPr="006A316D">
        <w:rPr>
          <w:rFonts w:ascii="Times New Roman" w:hAnsi="Times New Roman" w:cs="Times New Roman"/>
          <w:sz w:val="24"/>
          <w:szCs w:val="24"/>
        </w:rPr>
        <w:t xml:space="preserve"> anormallikleri, yetişkinlerde görülenlerle karşılaştırılabilir niteliktedir.</w:t>
      </w:r>
    </w:p>
    <w:p w14:paraId="4EE4D85C" w14:textId="77777777" w:rsidR="008B2BD3" w:rsidRPr="006A316D" w:rsidRDefault="008B2BD3" w:rsidP="003E5DC3">
      <w:pPr>
        <w:spacing w:after="0" w:line="240" w:lineRule="auto"/>
        <w:ind w:left="284"/>
        <w:jc w:val="both"/>
        <w:rPr>
          <w:rFonts w:ascii="Times New Roman" w:hAnsi="Times New Roman" w:cs="Times New Roman"/>
          <w:sz w:val="24"/>
          <w:szCs w:val="24"/>
        </w:rPr>
      </w:pPr>
    </w:p>
    <w:p w14:paraId="3C4D1292" w14:textId="77777777" w:rsidR="008B2BD3" w:rsidRPr="006A316D" w:rsidRDefault="008B2BD3" w:rsidP="008B2BD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b/>
          <w:bCs/>
          <w:sz w:val="24"/>
          <w:szCs w:val="24"/>
        </w:rPr>
        <w:t xml:space="preserve">Şüpheli advers reaksiyonların raporlanması </w:t>
      </w:r>
    </w:p>
    <w:p w14:paraId="73CE3A03" w14:textId="77777777" w:rsidR="008B2BD3" w:rsidRPr="006A316D" w:rsidRDefault="008B2BD3" w:rsidP="008B2BD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Ruhsatlandırma sonrası şüpheli ilaç advers reaksiyonlarının raporlanması büyük önem taşımaktadır. Raporlama yapılması, ilacın yarar/risk dengesinin sürekli olarak izlenmesine olanak sağlar. Sağlık mesleği mensuplarının herhangi bir şüpheli advers reaksiyonu Türkiye Farmakovijilans Merkezi’ne (TÜFAM) bildirmeleri gerekmektedir (www.titck.gov.tr; e- posta: tufam@titck.gov.tr; tel: 0 800 314 00 08; faks: 0 312 218 35 99).</w:t>
      </w:r>
    </w:p>
    <w:p w14:paraId="4994702A" w14:textId="77777777" w:rsidR="00CA7DA5" w:rsidRPr="006A316D" w:rsidRDefault="00CA7DA5" w:rsidP="00ED2805">
      <w:pPr>
        <w:spacing w:after="0" w:line="240" w:lineRule="auto"/>
        <w:jc w:val="both"/>
        <w:rPr>
          <w:rFonts w:ascii="Times New Roman" w:hAnsi="Times New Roman" w:cs="Times New Roman"/>
          <w:sz w:val="24"/>
          <w:szCs w:val="24"/>
        </w:rPr>
      </w:pPr>
    </w:p>
    <w:p w14:paraId="5E9FC476" w14:textId="77777777" w:rsidR="00ED2805" w:rsidRPr="006A316D" w:rsidRDefault="00ED2805" w:rsidP="003E5DC3">
      <w:pPr>
        <w:spacing w:after="6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4.9. Doz aşımı ve tedavisi</w:t>
      </w:r>
    </w:p>
    <w:p w14:paraId="3240CE77" w14:textId="77777777" w:rsidR="003E5DC3" w:rsidRPr="006A316D" w:rsidRDefault="00ED2805" w:rsidP="003E5DC3">
      <w:pPr>
        <w:spacing w:after="0" w:line="240" w:lineRule="auto"/>
        <w:ind w:left="284"/>
        <w:jc w:val="both"/>
        <w:rPr>
          <w:rFonts w:ascii="Times New Roman" w:hAnsi="Times New Roman" w:cs="Times New Roman"/>
          <w:strike/>
          <w:sz w:val="24"/>
          <w:szCs w:val="24"/>
        </w:rPr>
      </w:pPr>
      <w:r w:rsidRPr="006A316D">
        <w:rPr>
          <w:rFonts w:ascii="Times New Roman" w:hAnsi="Times New Roman" w:cs="Times New Roman"/>
          <w:sz w:val="24"/>
          <w:szCs w:val="24"/>
        </w:rPr>
        <w:t>Flukonazol ile ilgili doz aşımı vakaları bildirilmiştir ve kişide halüsinasyonlar gelişmiş ve</w:t>
      </w:r>
      <w:r w:rsidR="003E5DC3" w:rsidRPr="006A316D">
        <w:rPr>
          <w:rFonts w:ascii="Times New Roman" w:hAnsi="Times New Roman" w:cs="Times New Roman"/>
          <w:sz w:val="24"/>
          <w:szCs w:val="24"/>
        </w:rPr>
        <w:t xml:space="preserve"> </w:t>
      </w:r>
      <w:r w:rsidRPr="006A316D">
        <w:rPr>
          <w:rFonts w:ascii="Times New Roman" w:hAnsi="Times New Roman" w:cs="Times New Roman"/>
          <w:sz w:val="24"/>
          <w:szCs w:val="24"/>
        </w:rPr>
        <w:t xml:space="preserve">paranoid davranışlar </w:t>
      </w:r>
      <w:r w:rsidR="00881AF2" w:rsidRPr="006A316D">
        <w:rPr>
          <w:rFonts w:ascii="Times New Roman" w:hAnsi="Times New Roman" w:cs="Times New Roman"/>
          <w:sz w:val="24"/>
          <w:szCs w:val="24"/>
        </w:rPr>
        <w:t>rapor edilmiştir.</w:t>
      </w:r>
      <w:r w:rsidRPr="006A316D">
        <w:rPr>
          <w:rFonts w:ascii="Times New Roman" w:hAnsi="Times New Roman" w:cs="Times New Roman"/>
          <w:sz w:val="24"/>
          <w:szCs w:val="24"/>
        </w:rPr>
        <w:t xml:space="preserve"> </w:t>
      </w:r>
    </w:p>
    <w:p w14:paraId="7B3D7EC6" w14:textId="77777777" w:rsidR="00BD0D73" w:rsidRPr="006A316D" w:rsidRDefault="00BD0D73" w:rsidP="003E5DC3">
      <w:pPr>
        <w:spacing w:after="0" w:line="240" w:lineRule="auto"/>
        <w:ind w:left="284"/>
        <w:jc w:val="both"/>
        <w:rPr>
          <w:rFonts w:ascii="Times New Roman" w:hAnsi="Times New Roman" w:cs="Times New Roman"/>
          <w:sz w:val="24"/>
          <w:szCs w:val="24"/>
        </w:rPr>
      </w:pPr>
    </w:p>
    <w:p w14:paraId="01356014" w14:textId="77777777" w:rsidR="00ED2805"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Aşırı doz durumlarında semptomatik tedavi (destekleyici önlemler ve gerektiğinde mide lavajı</w:t>
      </w:r>
      <w:r w:rsidR="003E5DC3" w:rsidRPr="006A316D">
        <w:rPr>
          <w:rFonts w:ascii="Times New Roman" w:hAnsi="Times New Roman" w:cs="Times New Roman"/>
          <w:sz w:val="24"/>
          <w:szCs w:val="24"/>
        </w:rPr>
        <w:t xml:space="preserve"> </w:t>
      </w:r>
      <w:r w:rsidRPr="006A316D">
        <w:rPr>
          <w:rFonts w:ascii="Times New Roman" w:hAnsi="Times New Roman" w:cs="Times New Roman"/>
          <w:sz w:val="24"/>
          <w:szCs w:val="24"/>
        </w:rPr>
        <w:t>ile birlikte) yeterli olabilir.</w:t>
      </w:r>
    </w:p>
    <w:p w14:paraId="77B39356" w14:textId="77777777" w:rsidR="003E5DC3" w:rsidRPr="006A316D" w:rsidRDefault="003E5DC3" w:rsidP="003E5DC3">
      <w:pPr>
        <w:spacing w:after="0" w:line="240" w:lineRule="auto"/>
        <w:ind w:left="284"/>
        <w:jc w:val="both"/>
        <w:rPr>
          <w:rFonts w:ascii="Times New Roman" w:hAnsi="Times New Roman" w:cs="Times New Roman"/>
          <w:sz w:val="24"/>
          <w:szCs w:val="24"/>
        </w:rPr>
      </w:pPr>
    </w:p>
    <w:p w14:paraId="3F2853AA" w14:textId="77777777" w:rsidR="00ED2805" w:rsidRPr="006A316D" w:rsidRDefault="00ED2805" w:rsidP="003E5DC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büyük oranda idrarla atılır; zorlu volüm diürezi, büyük bir olası</w:t>
      </w:r>
      <w:r w:rsidR="00881AF2" w:rsidRPr="006A316D">
        <w:rPr>
          <w:rFonts w:ascii="Times New Roman" w:hAnsi="Times New Roman" w:cs="Times New Roman"/>
          <w:sz w:val="24"/>
          <w:szCs w:val="24"/>
        </w:rPr>
        <w:t>lı</w:t>
      </w:r>
      <w:r w:rsidRPr="006A316D">
        <w:rPr>
          <w:rFonts w:ascii="Times New Roman" w:hAnsi="Times New Roman" w:cs="Times New Roman"/>
          <w:sz w:val="24"/>
          <w:szCs w:val="24"/>
        </w:rPr>
        <w:t>kla eliminasyon</w:t>
      </w:r>
      <w:r w:rsidR="003E5DC3" w:rsidRPr="006A316D">
        <w:rPr>
          <w:rFonts w:ascii="Times New Roman" w:hAnsi="Times New Roman" w:cs="Times New Roman"/>
          <w:sz w:val="24"/>
          <w:szCs w:val="24"/>
        </w:rPr>
        <w:t xml:space="preserve"> </w:t>
      </w:r>
      <w:r w:rsidRPr="006A316D">
        <w:rPr>
          <w:rFonts w:ascii="Times New Roman" w:hAnsi="Times New Roman" w:cs="Times New Roman"/>
          <w:sz w:val="24"/>
          <w:szCs w:val="24"/>
        </w:rPr>
        <w:t>hızını artıracaktır. Üç saatlik bir hemodiyaliz seansı plazma düzeyini yaklaşık %50 azaltır.</w:t>
      </w:r>
    </w:p>
    <w:p w14:paraId="091E64B9" w14:textId="77777777" w:rsidR="00ED2805" w:rsidRPr="006A316D" w:rsidRDefault="00ED2805" w:rsidP="00ED2805">
      <w:pPr>
        <w:spacing w:after="0" w:line="240" w:lineRule="auto"/>
        <w:jc w:val="both"/>
        <w:rPr>
          <w:rFonts w:ascii="Times New Roman" w:hAnsi="Times New Roman" w:cs="Times New Roman"/>
          <w:sz w:val="24"/>
          <w:szCs w:val="24"/>
        </w:rPr>
      </w:pPr>
    </w:p>
    <w:p w14:paraId="6E0AB704" w14:textId="77777777" w:rsidR="00ED2805" w:rsidRPr="006A316D" w:rsidRDefault="00ED2805" w:rsidP="00ED2805">
      <w:pPr>
        <w:spacing w:after="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5. FARMAKOLOJİK ÖZELLİKLER</w:t>
      </w:r>
    </w:p>
    <w:p w14:paraId="2C1BFBEE" w14:textId="77777777" w:rsidR="003E5DC3" w:rsidRPr="006A316D" w:rsidRDefault="003E5DC3" w:rsidP="00ED2805">
      <w:pPr>
        <w:spacing w:after="0" w:line="240" w:lineRule="auto"/>
        <w:jc w:val="both"/>
        <w:rPr>
          <w:rFonts w:ascii="Times New Roman" w:hAnsi="Times New Roman" w:cs="Times New Roman"/>
          <w:b/>
          <w:bCs/>
          <w:sz w:val="24"/>
          <w:szCs w:val="24"/>
        </w:rPr>
      </w:pPr>
    </w:p>
    <w:p w14:paraId="489CAD75" w14:textId="77777777" w:rsidR="00ED2805" w:rsidRPr="006A316D" w:rsidRDefault="00ED2805" w:rsidP="003E5DC3">
      <w:pPr>
        <w:spacing w:after="6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5.1. Farmakodinamik özellikler</w:t>
      </w:r>
    </w:p>
    <w:p w14:paraId="3DB72CBB" w14:textId="77777777" w:rsidR="00BD0D73" w:rsidRPr="006A316D" w:rsidRDefault="00ED2805" w:rsidP="00B96050">
      <w:pPr>
        <w:spacing w:after="0" w:line="240" w:lineRule="auto"/>
        <w:ind w:left="284"/>
        <w:jc w:val="both"/>
        <w:rPr>
          <w:rFonts w:ascii="Times New Roman" w:hAnsi="Times New Roman" w:cs="Times New Roman"/>
          <w:strike/>
          <w:sz w:val="24"/>
          <w:szCs w:val="24"/>
        </w:rPr>
      </w:pPr>
      <w:r w:rsidRPr="006A316D">
        <w:rPr>
          <w:rFonts w:ascii="Times New Roman" w:hAnsi="Times New Roman" w:cs="Times New Roman"/>
          <w:sz w:val="24"/>
          <w:szCs w:val="24"/>
        </w:rPr>
        <w:t xml:space="preserve">Farmakoterapötik grup: </w:t>
      </w:r>
      <w:r w:rsidR="00DB4839" w:rsidRPr="006A316D">
        <w:rPr>
          <w:rFonts w:ascii="Times New Roman" w:hAnsi="Times New Roman" w:cs="Times New Roman"/>
          <w:sz w:val="24"/>
          <w:szCs w:val="24"/>
        </w:rPr>
        <w:t xml:space="preserve">Sistemik kullanılan antimikotikler, triazol </w:t>
      </w:r>
      <w:r w:rsidRPr="006A316D">
        <w:rPr>
          <w:rFonts w:ascii="Times New Roman" w:hAnsi="Times New Roman" w:cs="Times New Roman"/>
          <w:sz w:val="24"/>
          <w:szCs w:val="24"/>
        </w:rPr>
        <w:t xml:space="preserve">türevleri, </w:t>
      </w:r>
      <w:r w:rsidR="00EF1957" w:rsidRPr="006A316D">
        <w:rPr>
          <w:rFonts w:ascii="Times New Roman" w:hAnsi="Times New Roman" w:cs="Times New Roman"/>
          <w:sz w:val="24"/>
          <w:szCs w:val="24"/>
        </w:rPr>
        <w:t>antifungal ilaçlar</w:t>
      </w:r>
    </w:p>
    <w:p w14:paraId="373BE9DC" w14:textId="77777777" w:rsidR="00ED2805" w:rsidRPr="006A316D" w:rsidRDefault="00ED2805" w:rsidP="00B96050">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ATC kodu: J02AC01.</w:t>
      </w:r>
    </w:p>
    <w:p w14:paraId="1087744B" w14:textId="77777777" w:rsidR="003E5DC3" w:rsidRPr="006A316D" w:rsidRDefault="003E5DC3" w:rsidP="00B96050">
      <w:pPr>
        <w:spacing w:after="0" w:line="240" w:lineRule="auto"/>
        <w:ind w:left="284"/>
        <w:jc w:val="both"/>
        <w:rPr>
          <w:rFonts w:ascii="Times New Roman" w:hAnsi="Times New Roman" w:cs="Times New Roman"/>
          <w:sz w:val="24"/>
          <w:szCs w:val="24"/>
        </w:rPr>
      </w:pPr>
    </w:p>
    <w:p w14:paraId="37850CC8" w14:textId="77777777" w:rsidR="003E5DC3" w:rsidRPr="006A316D" w:rsidRDefault="00DB4839" w:rsidP="00BD0D7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Etki mekanizması</w:t>
      </w:r>
    </w:p>
    <w:p w14:paraId="06481C97" w14:textId="77777777" w:rsidR="00703BEA" w:rsidRPr="006A316D" w:rsidRDefault="00703BEA" w:rsidP="00B96050">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triazol sınıfına dahil antifungal bir ajandır. Ana etki mekanizması fungal ergosterol biyosentezinde önemli bir basamak olan 14-alfa-lanosterol demetilasyonunu sağlayan fungal sitokrom P-450’nin inhibisyonudur. 14-alfa-metil sterol birikmesi sonrasındaki fungal hücre membranındaki ergosterol kaybı ile ilişkili olup flukonazolün antifungal aktivitesinden sorumlu olabilir. Flukonazolün memelilerdeki çeşitli sitokrom P450 enzim sistemlerinden ziyade fungal sitokrom P450 enzimlerine karşı daha seçici olduğu gösterilmiştir.</w:t>
      </w:r>
    </w:p>
    <w:p w14:paraId="177D8EB8" w14:textId="77777777" w:rsidR="00BD0D73" w:rsidRPr="006A316D" w:rsidRDefault="00BD0D73" w:rsidP="00B96050">
      <w:pPr>
        <w:spacing w:after="0" w:line="240" w:lineRule="auto"/>
        <w:ind w:left="284"/>
        <w:jc w:val="both"/>
        <w:rPr>
          <w:rFonts w:ascii="Times New Roman" w:hAnsi="Times New Roman" w:cs="Times New Roman"/>
          <w:strike/>
          <w:sz w:val="24"/>
          <w:szCs w:val="24"/>
        </w:rPr>
      </w:pPr>
    </w:p>
    <w:p w14:paraId="46D8F5B8" w14:textId="77777777" w:rsidR="00ED2805" w:rsidRPr="006A316D" w:rsidRDefault="00ED2805" w:rsidP="00B96050">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Günde 50 mg olarak 28 güne kadar kullanılan flukonazol</w:t>
      </w:r>
      <w:r w:rsidR="0044152C" w:rsidRPr="006A316D">
        <w:rPr>
          <w:rFonts w:ascii="Times New Roman" w:hAnsi="Times New Roman" w:cs="Times New Roman"/>
          <w:sz w:val="24"/>
          <w:szCs w:val="24"/>
        </w:rPr>
        <w:t>u</w:t>
      </w:r>
      <w:r w:rsidRPr="006A316D">
        <w:rPr>
          <w:rFonts w:ascii="Times New Roman" w:hAnsi="Times New Roman" w:cs="Times New Roman"/>
          <w:sz w:val="24"/>
          <w:szCs w:val="24"/>
        </w:rPr>
        <w:t>n erkeklerde plazma testosteron</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konsantrasyonlarını veya çocuk doğurma yaşındaki kadınlarda steroid konsantrasyonlarını</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etkilemediği gösterilmiştir. Günde 200-400 mg flukonazol</w:t>
      </w:r>
      <w:r w:rsidR="0044152C" w:rsidRPr="006A316D">
        <w:rPr>
          <w:rFonts w:ascii="Times New Roman" w:hAnsi="Times New Roman" w:cs="Times New Roman"/>
          <w:sz w:val="24"/>
          <w:szCs w:val="24"/>
        </w:rPr>
        <w:t>ü</w:t>
      </w:r>
      <w:r w:rsidRPr="006A316D">
        <w:rPr>
          <w:rFonts w:ascii="Times New Roman" w:hAnsi="Times New Roman" w:cs="Times New Roman"/>
          <w:sz w:val="24"/>
          <w:szCs w:val="24"/>
        </w:rPr>
        <w:t>n, sağlıklı erkek gönüllülerde</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 xml:space="preserve">endojen steroid seviyelerinde veya ACTH ile uyarılmış cevapta, klinik anlamlı etkisi </w:t>
      </w:r>
      <w:r w:rsidRPr="006A316D">
        <w:rPr>
          <w:rFonts w:ascii="Times New Roman" w:hAnsi="Times New Roman" w:cs="Times New Roman"/>
          <w:sz w:val="24"/>
          <w:szCs w:val="24"/>
        </w:rPr>
        <w:lastRenderedPageBreak/>
        <w:t>yoktur.</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Antipirin ile etkileşim çalışmaları flukonazol</w:t>
      </w:r>
      <w:r w:rsidR="00851E5D" w:rsidRPr="006A316D">
        <w:rPr>
          <w:rFonts w:ascii="Times New Roman" w:hAnsi="Times New Roman" w:cs="Times New Roman"/>
          <w:sz w:val="24"/>
          <w:szCs w:val="24"/>
        </w:rPr>
        <w:t>ü</w:t>
      </w:r>
      <w:r w:rsidRPr="006A316D">
        <w:rPr>
          <w:rFonts w:ascii="Times New Roman" w:hAnsi="Times New Roman" w:cs="Times New Roman"/>
          <w:sz w:val="24"/>
          <w:szCs w:val="24"/>
        </w:rPr>
        <w:t>n 50 mg’lık tek veya tekrarlayan dozlarının bu</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maddenin metabolizmasını etkilemediğini göstermiştir.</w:t>
      </w:r>
    </w:p>
    <w:p w14:paraId="0C577B9F" w14:textId="77777777" w:rsidR="00703BEA" w:rsidRPr="006A316D" w:rsidRDefault="00703BEA" w:rsidP="00B96050">
      <w:pPr>
        <w:spacing w:after="0" w:line="240" w:lineRule="auto"/>
        <w:ind w:left="284"/>
        <w:jc w:val="both"/>
        <w:rPr>
          <w:rFonts w:ascii="Times New Roman" w:hAnsi="Times New Roman" w:cs="Times New Roman"/>
          <w:sz w:val="24"/>
          <w:szCs w:val="24"/>
        </w:rPr>
      </w:pPr>
    </w:p>
    <w:p w14:paraId="132E4C32" w14:textId="77777777" w:rsidR="00703BEA" w:rsidRPr="006A316D" w:rsidRDefault="005B4B4B" w:rsidP="00703BE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i/>
          <w:iCs/>
          <w:sz w:val="24"/>
          <w:szCs w:val="24"/>
        </w:rPr>
        <w:t>I</w:t>
      </w:r>
      <w:r w:rsidR="00703BEA" w:rsidRPr="006A316D">
        <w:rPr>
          <w:rFonts w:ascii="Times New Roman" w:hAnsi="Times New Roman" w:cs="Times New Roman"/>
          <w:i/>
          <w:iCs/>
          <w:sz w:val="24"/>
          <w:szCs w:val="24"/>
        </w:rPr>
        <w:t xml:space="preserve">n vitro </w:t>
      </w:r>
      <w:r w:rsidR="00703BEA" w:rsidRPr="006A316D">
        <w:rPr>
          <w:rFonts w:ascii="Times New Roman" w:hAnsi="Times New Roman" w:cs="Times New Roman"/>
          <w:sz w:val="24"/>
          <w:szCs w:val="24"/>
        </w:rPr>
        <w:t xml:space="preserve">duyarlılık </w:t>
      </w:r>
    </w:p>
    <w:p w14:paraId="722DCDF0" w14:textId="77777777" w:rsidR="00703BEA" w:rsidRPr="006A316D" w:rsidRDefault="005B4B4B" w:rsidP="00703BE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i/>
          <w:iCs/>
          <w:sz w:val="24"/>
          <w:szCs w:val="24"/>
        </w:rPr>
        <w:t>I</w:t>
      </w:r>
      <w:r w:rsidR="00703BEA" w:rsidRPr="006A316D">
        <w:rPr>
          <w:rFonts w:ascii="Times New Roman" w:hAnsi="Times New Roman" w:cs="Times New Roman"/>
          <w:i/>
          <w:iCs/>
          <w:sz w:val="24"/>
          <w:szCs w:val="24"/>
        </w:rPr>
        <w:t xml:space="preserve">n vitro </w:t>
      </w:r>
      <w:r w:rsidR="00703BEA" w:rsidRPr="006A316D">
        <w:rPr>
          <w:rFonts w:ascii="Times New Roman" w:hAnsi="Times New Roman" w:cs="Times New Roman"/>
          <w:sz w:val="24"/>
          <w:szCs w:val="24"/>
        </w:rPr>
        <w:t xml:space="preserve">ortamda flukonazol klinik olarak yaygın çoğu </w:t>
      </w:r>
      <w:r w:rsidR="00703BEA" w:rsidRPr="006A316D">
        <w:rPr>
          <w:rFonts w:ascii="Times New Roman" w:hAnsi="Times New Roman" w:cs="Times New Roman"/>
          <w:i/>
          <w:iCs/>
          <w:sz w:val="24"/>
          <w:szCs w:val="24"/>
        </w:rPr>
        <w:t xml:space="preserve">Candida </w:t>
      </w:r>
      <w:r w:rsidR="00703BEA" w:rsidRPr="006A316D">
        <w:rPr>
          <w:rFonts w:ascii="Times New Roman" w:hAnsi="Times New Roman" w:cs="Times New Roman"/>
          <w:sz w:val="24"/>
          <w:szCs w:val="24"/>
        </w:rPr>
        <w:t>(</w:t>
      </w:r>
      <w:r w:rsidR="00703BEA" w:rsidRPr="006A316D">
        <w:rPr>
          <w:rFonts w:ascii="Times New Roman" w:hAnsi="Times New Roman" w:cs="Times New Roman"/>
          <w:i/>
          <w:iCs/>
          <w:sz w:val="24"/>
          <w:szCs w:val="24"/>
        </w:rPr>
        <w:t>C. albicans, C. parapsilosis, C. tropicalis</w:t>
      </w:r>
      <w:r w:rsidR="00703BEA" w:rsidRPr="006A316D">
        <w:rPr>
          <w:rFonts w:ascii="Times New Roman" w:hAnsi="Times New Roman" w:cs="Times New Roman"/>
          <w:sz w:val="24"/>
          <w:szCs w:val="24"/>
        </w:rPr>
        <w:t xml:space="preserve">) türüne karşı antifungal aktivite gösterir. </w:t>
      </w:r>
      <w:r w:rsidR="00703BEA" w:rsidRPr="006A316D">
        <w:rPr>
          <w:rFonts w:ascii="Times New Roman" w:hAnsi="Times New Roman" w:cs="Times New Roman"/>
          <w:i/>
          <w:iCs/>
          <w:sz w:val="24"/>
          <w:szCs w:val="24"/>
        </w:rPr>
        <w:t xml:space="preserve">C. krusei </w:t>
      </w:r>
      <w:r w:rsidR="00703BEA" w:rsidRPr="006A316D">
        <w:rPr>
          <w:rFonts w:ascii="Times New Roman" w:hAnsi="Times New Roman" w:cs="Times New Roman"/>
          <w:sz w:val="24"/>
          <w:szCs w:val="24"/>
        </w:rPr>
        <w:t xml:space="preserve">flukonazole direnç gösterirken </w:t>
      </w:r>
      <w:r w:rsidR="00703BEA" w:rsidRPr="006A316D">
        <w:rPr>
          <w:rFonts w:ascii="Times New Roman" w:hAnsi="Times New Roman" w:cs="Times New Roman"/>
          <w:i/>
          <w:iCs/>
          <w:sz w:val="24"/>
          <w:szCs w:val="24"/>
        </w:rPr>
        <w:t xml:space="preserve">C. glabrata </w:t>
      </w:r>
      <w:r w:rsidR="00703BEA" w:rsidRPr="006A316D">
        <w:rPr>
          <w:rFonts w:ascii="Times New Roman" w:hAnsi="Times New Roman" w:cs="Times New Roman"/>
          <w:sz w:val="24"/>
          <w:szCs w:val="24"/>
        </w:rPr>
        <w:t xml:space="preserve">geniş bir duyarlılık aralığına sahiptir. </w:t>
      </w:r>
    </w:p>
    <w:p w14:paraId="62425DBB" w14:textId="77777777" w:rsidR="00703BEA" w:rsidRPr="006A316D" w:rsidRDefault="00703BEA" w:rsidP="00703BEA">
      <w:pPr>
        <w:spacing w:after="0" w:line="240" w:lineRule="auto"/>
        <w:ind w:left="284"/>
        <w:jc w:val="both"/>
        <w:rPr>
          <w:rFonts w:ascii="Times New Roman" w:hAnsi="Times New Roman" w:cs="Times New Roman"/>
          <w:sz w:val="24"/>
          <w:szCs w:val="24"/>
        </w:rPr>
      </w:pPr>
    </w:p>
    <w:p w14:paraId="2712BE5B" w14:textId="77777777" w:rsidR="00703BEA" w:rsidRPr="006A316D" w:rsidRDefault="00703BEA" w:rsidP="00703BE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Ayrıca flukonazol </w:t>
      </w:r>
      <w:r w:rsidRPr="006A316D">
        <w:rPr>
          <w:rFonts w:ascii="Times New Roman" w:hAnsi="Times New Roman" w:cs="Times New Roman"/>
          <w:i/>
          <w:iCs/>
          <w:sz w:val="24"/>
          <w:szCs w:val="24"/>
        </w:rPr>
        <w:t>Cryptococcus neoformans</w:t>
      </w:r>
      <w:r w:rsidRPr="006A316D">
        <w:rPr>
          <w:rFonts w:ascii="Times New Roman" w:hAnsi="Times New Roman" w:cs="Times New Roman"/>
          <w:sz w:val="24"/>
          <w:szCs w:val="24"/>
        </w:rPr>
        <w:t xml:space="preserve">'a ve </w:t>
      </w:r>
      <w:r w:rsidRPr="006A316D">
        <w:rPr>
          <w:rFonts w:ascii="Times New Roman" w:hAnsi="Times New Roman" w:cs="Times New Roman"/>
          <w:i/>
          <w:iCs/>
          <w:sz w:val="24"/>
          <w:szCs w:val="24"/>
        </w:rPr>
        <w:t>Cryptococcus gattii</w:t>
      </w:r>
      <w:r w:rsidRPr="006A316D">
        <w:rPr>
          <w:rFonts w:ascii="Times New Roman" w:hAnsi="Times New Roman" w:cs="Times New Roman"/>
          <w:sz w:val="24"/>
          <w:szCs w:val="24"/>
        </w:rPr>
        <w:t xml:space="preserve">'e karşı ve hatta </w:t>
      </w:r>
      <w:r w:rsidRPr="006A316D">
        <w:rPr>
          <w:rFonts w:ascii="Times New Roman" w:hAnsi="Times New Roman" w:cs="Times New Roman"/>
          <w:i/>
          <w:iCs/>
          <w:sz w:val="24"/>
          <w:szCs w:val="24"/>
        </w:rPr>
        <w:t xml:space="preserve">Blastomyces dermatiditis, Coccidioides immitis, Histoplasma capsulatum ve Paracoccidioides brasiliensis </w:t>
      </w:r>
      <w:r w:rsidRPr="006A316D">
        <w:rPr>
          <w:rFonts w:ascii="Times New Roman" w:hAnsi="Times New Roman" w:cs="Times New Roman"/>
          <w:sz w:val="24"/>
          <w:szCs w:val="24"/>
        </w:rPr>
        <w:t xml:space="preserve">gibi endemik küflere karşı </w:t>
      </w:r>
      <w:r w:rsidRPr="006A316D">
        <w:rPr>
          <w:rFonts w:ascii="Times New Roman" w:hAnsi="Times New Roman" w:cs="Times New Roman"/>
          <w:i/>
          <w:iCs/>
          <w:sz w:val="24"/>
          <w:szCs w:val="24"/>
        </w:rPr>
        <w:t xml:space="preserve">in vitro </w:t>
      </w:r>
      <w:r w:rsidRPr="006A316D">
        <w:rPr>
          <w:rFonts w:ascii="Times New Roman" w:hAnsi="Times New Roman" w:cs="Times New Roman"/>
          <w:sz w:val="24"/>
          <w:szCs w:val="24"/>
        </w:rPr>
        <w:t>etki sergiler.</w:t>
      </w:r>
    </w:p>
    <w:p w14:paraId="151D605C" w14:textId="77777777" w:rsidR="00703BEA" w:rsidRPr="006A316D" w:rsidRDefault="00703BEA" w:rsidP="00703BEA">
      <w:pPr>
        <w:spacing w:after="0" w:line="240" w:lineRule="auto"/>
        <w:ind w:left="284"/>
        <w:jc w:val="both"/>
        <w:rPr>
          <w:rFonts w:ascii="Times New Roman" w:hAnsi="Times New Roman" w:cs="Times New Roman"/>
          <w:sz w:val="24"/>
          <w:szCs w:val="24"/>
        </w:rPr>
      </w:pPr>
    </w:p>
    <w:p w14:paraId="23065ED9" w14:textId="77777777" w:rsidR="00703BEA" w:rsidRPr="006A316D" w:rsidRDefault="00703BEA" w:rsidP="00703BE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Farmakokinetik/farmakodinamik (</w:t>
      </w:r>
      <w:r w:rsidR="005B4B4B" w:rsidRPr="006A316D">
        <w:rPr>
          <w:rFonts w:ascii="Times New Roman" w:hAnsi="Times New Roman" w:cs="Times New Roman"/>
          <w:sz w:val="24"/>
          <w:szCs w:val="24"/>
        </w:rPr>
        <w:t>P</w:t>
      </w:r>
      <w:r w:rsidRPr="006A316D">
        <w:rPr>
          <w:rFonts w:ascii="Times New Roman" w:hAnsi="Times New Roman" w:cs="Times New Roman"/>
          <w:sz w:val="24"/>
          <w:szCs w:val="24"/>
        </w:rPr>
        <w:t>K/</w:t>
      </w:r>
      <w:r w:rsidR="005B4B4B" w:rsidRPr="006A316D">
        <w:rPr>
          <w:rFonts w:ascii="Times New Roman" w:hAnsi="Times New Roman" w:cs="Times New Roman"/>
          <w:sz w:val="24"/>
          <w:szCs w:val="24"/>
        </w:rPr>
        <w:t>P</w:t>
      </w:r>
      <w:r w:rsidRPr="006A316D">
        <w:rPr>
          <w:rFonts w:ascii="Times New Roman" w:hAnsi="Times New Roman" w:cs="Times New Roman"/>
          <w:sz w:val="24"/>
          <w:szCs w:val="24"/>
        </w:rPr>
        <w:t>D) ilişki</w:t>
      </w:r>
    </w:p>
    <w:p w14:paraId="467171DD" w14:textId="77777777" w:rsidR="00703BEA" w:rsidRPr="006A316D" w:rsidRDefault="00703BEA" w:rsidP="00703BE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Hayvan çalışmalarında Candida türünden kaynaklı deneysel mikoza karşı MİK değeri ile etkililik arasında bir korelasyon vardır. Klinik çalışmalarda flukonazol dozu ile EAA değeri arasında 1:1 lineer bir ilişki görülmüştür. “EAA veya doz ve oral kandidozda başarılı klinik cevaptan daha az kandidemiye ve tedaviye kadar aralarında direkt fakat kusurlu bir ilişki vardır.” Benzer </w:t>
      </w:r>
      <w:r w:rsidR="005B4B4B" w:rsidRPr="006A316D">
        <w:rPr>
          <w:rFonts w:ascii="Times New Roman" w:hAnsi="Times New Roman" w:cs="Times New Roman"/>
          <w:sz w:val="24"/>
          <w:szCs w:val="24"/>
        </w:rPr>
        <w:t xml:space="preserve">olarak </w:t>
      </w:r>
      <w:r w:rsidRPr="006A316D">
        <w:rPr>
          <w:rFonts w:ascii="Times New Roman" w:hAnsi="Times New Roman" w:cs="Times New Roman"/>
          <w:sz w:val="24"/>
          <w:szCs w:val="24"/>
        </w:rPr>
        <w:t>yüksek flukonazol MİK’li suşların sebep olduğu enfeksiyonlar için tedavi olasılığı daha azdır.</w:t>
      </w:r>
    </w:p>
    <w:p w14:paraId="092A0C9F" w14:textId="77777777" w:rsidR="00703BEA" w:rsidRPr="006A316D" w:rsidRDefault="00703BEA" w:rsidP="00703BEA">
      <w:pPr>
        <w:spacing w:after="0" w:line="240" w:lineRule="auto"/>
        <w:ind w:left="284"/>
        <w:jc w:val="both"/>
        <w:rPr>
          <w:rFonts w:ascii="Times New Roman" w:hAnsi="Times New Roman" w:cs="Times New Roman"/>
          <w:sz w:val="24"/>
          <w:szCs w:val="24"/>
        </w:rPr>
      </w:pPr>
    </w:p>
    <w:p w14:paraId="2D32E15E" w14:textId="77777777" w:rsidR="00703BEA" w:rsidRPr="006A316D" w:rsidRDefault="00703BEA" w:rsidP="00703BE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Direnç mekanizması</w:t>
      </w:r>
    </w:p>
    <w:p w14:paraId="13FC9011" w14:textId="77777777" w:rsidR="00703BEA" w:rsidRPr="006A316D" w:rsidRDefault="00703BEA" w:rsidP="00703BE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i/>
          <w:iCs/>
          <w:sz w:val="24"/>
          <w:szCs w:val="24"/>
        </w:rPr>
        <w:t>Candida</w:t>
      </w:r>
      <w:r w:rsidRPr="006A316D">
        <w:rPr>
          <w:rFonts w:ascii="Times New Roman" w:hAnsi="Times New Roman" w:cs="Times New Roman"/>
          <w:sz w:val="24"/>
          <w:szCs w:val="24"/>
        </w:rPr>
        <w:t xml:space="preserve"> türleri azoller sınıfından antifungal ajanlara karşı çok sayıda direnç mekanizması geliştirmektedir. Bir veya daha fazla direnç mekanizması geliştiren fungal suşların flukanazole karşı yüksek MİK gösterdikleri bilinmektedir. Bu durum, in vivo ve klinik etkililiği olumsuz etkilemektedir.</w:t>
      </w:r>
    </w:p>
    <w:p w14:paraId="5B2FA980" w14:textId="77777777" w:rsidR="00703BEA" w:rsidRPr="006A316D" w:rsidRDefault="00703BEA" w:rsidP="00703BEA">
      <w:pPr>
        <w:spacing w:after="0" w:line="240" w:lineRule="auto"/>
        <w:ind w:left="284"/>
        <w:jc w:val="both"/>
        <w:rPr>
          <w:rFonts w:ascii="Times New Roman" w:hAnsi="Times New Roman" w:cs="Times New Roman"/>
          <w:sz w:val="24"/>
          <w:szCs w:val="24"/>
        </w:rPr>
      </w:pPr>
    </w:p>
    <w:p w14:paraId="4E867EB9" w14:textId="77777777" w:rsidR="00703BEA" w:rsidRPr="006A316D" w:rsidRDefault="00703BEA" w:rsidP="00703BE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Doğası gereği sıklıkla flukonazole karşı direnç gösteren </w:t>
      </w:r>
      <w:r w:rsidRPr="006A316D">
        <w:rPr>
          <w:rFonts w:ascii="Times New Roman" w:hAnsi="Times New Roman" w:cs="Times New Roman"/>
          <w:i/>
          <w:iCs/>
          <w:sz w:val="24"/>
          <w:szCs w:val="24"/>
        </w:rPr>
        <w:t>C. albicans</w:t>
      </w:r>
      <w:r w:rsidRPr="006A316D">
        <w:rPr>
          <w:rFonts w:ascii="Times New Roman" w:hAnsi="Times New Roman" w:cs="Times New Roman"/>
          <w:sz w:val="24"/>
          <w:szCs w:val="24"/>
        </w:rPr>
        <w:t xml:space="preserve"> dışındaki </w:t>
      </w:r>
      <w:r w:rsidRPr="006A316D">
        <w:rPr>
          <w:rFonts w:ascii="Times New Roman" w:hAnsi="Times New Roman" w:cs="Times New Roman"/>
          <w:i/>
          <w:iCs/>
          <w:sz w:val="24"/>
          <w:szCs w:val="24"/>
        </w:rPr>
        <w:t xml:space="preserve">Candida </w:t>
      </w:r>
      <w:r w:rsidRPr="006A316D">
        <w:rPr>
          <w:rFonts w:ascii="Times New Roman" w:hAnsi="Times New Roman" w:cs="Times New Roman"/>
          <w:sz w:val="24"/>
          <w:szCs w:val="24"/>
        </w:rPr>
        <w:t>türlerinde (ör</w:t>
      </w:r>
      <w:r w:rsidR="0080750D" w:rsidRPr="006A316D">
        <w:rPr>
          <w:rFonts w:ascii="Times New Roman" w:hAnsi="Times New Roman" w:cs="Times New Roman"/>
          <w:sz w:val="24"/>
          <w:szCs w:val="24"/>
        </w:rPr>
        <w:t>n</w:t>
      </w:r>
      <w:r w:rsidRPr="006A316D">
        <w:rPr>
          <w:rFonts w:ascii="Times New Roman" w:hAnsi="Times New Roman" w:cs="Times New Roman"/>
          <w:sz w:val="24"/>
          <w:szCs w:val="24"/>
        </w:rPr>
        <w:t xml:space="preserve">: </w:t>
      </w:r>
      <w:r w:rsidRPr="006A316D">
        <w:rPr>
          <w:rFonts w:ascii="Times New Roman" w:hAnsi="Times New Roman" w:cs="Times New Roman"/>
          <w:i/>
          <w:iCs/>
          <w:sz w:val="24"/>
          <w:szCs w:val="24"/>
        </w:rPr>
        <w:t>Candida</w:t>
      </w:r>
      <w:r w:rsidRPr="006A316D">
        <w:rPr>
          <w:rFonts w:ascii="Times New Roman" w:hAnsi="Times New Roman" w:cs="Times New Roman"/>
          <w:sz w:val="24"/>
          <w:szCs w:val="24"/>
        </w:rPr>
        <w:t xml:space="preserve"> </w:t>
      </w:r>
      <w:r w:rsidRPr="006A316D">
        <w:rPr>
          <w:rFonts w:ascii="Times New Roman" w:hAnsi="Times New Roman" w:cs="Times New Roman"/>
          <w:i/>
          <w:iCs/>
          <w:sz w:val="24"/>
          <w:szCs w:val="24"/>
        </w:rPr>
        <w:t>krusei</w:t>
      </w:r>
      <w:r w:rsidRPr="006A316D">
        <w:rPr>
          <w:rFonts w:ascii="Times New Roman" w:hAnsi="Times New Roman" w:cs="Times New Roman"/>
          <w:sz w:val="24"/>
          <w:szCs w:val="24"/>
        </w:rPr>
        <w:t>) süperenfeksiyon oluşumu raporlanmıştır. Bu gibi durumlarda alternatif antifungal tedavileri gerekebilir.</w:t>
      </w:r>
    </w:p>
    <w:p w14:paraId="18B85647" w14:textId="77777777" w:rsidR="00703BEA" w:rsidRPr="006A316D" w:rsidRDefault="00703BEA" w:rsidP="00703BEA">
      <w:pPr>
        <w:spacing w:after="0" w:line="240" w:lineRule="auto"/>
        <w:ind w:left="284"/>
        <w:jc w:val="both"/>
        <w:rPr>
          <w:rFonts w:ascii="Times New Roman" w:hAnsi="Times New Roman" w:cs="Times New Roman"/>
          <w:sz w:val="24"/>
          <w:szCs w:val="24"/>
        </w:rPr>
      </w:pPr>
    </w:p>
    <w:p w14:paraId="72D297D0" w14:textId="77777777" w:rsidR="00703BEA" w:rsidRPr="006A316D" w:rsidRDefault="00703BEA" w:rsidP="00703BE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Kırılma noktaları (EUCAST’a göre)</w:t>
      </w:r>
    </w:p>
    <w:p w14:paraId="14170558" w14:textId="5B904ED3" w:rsidR="00703BEA" w:rsidRPr="006A316D" w:rsidRDefault="00703BEA" w:rsidP="00703BE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Farmakokinetik /farmakodinamik verilerine, in vitro duyarlılığa ve klinik cevaba dayanarak EUCAST-AFST (Avrupa antimikrobiyal duyarlılık test komitesi-Antifungal duyarlılık test alt komitesi) </w:t>
      </w:r>
      <w:r w:rsidRPr="006A316D">
        <w:rPr>
          <w:rFonts w:ascii="Times New Roman" w:hAnsi="Times New Roman" w:cs="Times New Roman"/>
          <w:i/>
          <w:iCs/>
          <w:sz w:val="24"/>
          <w:szCs w:val="24"/>
        </w:rPr>
        <w:t>Candida</w:t>
      </w:r>
      <w:r w:rsidRPr="006A316D">
        <w:rPr>
          <w:rFonts w:ascii="Times New Roman" w:hAnsi="Times New Roman" w:cs="Times New Roman"/>
          <w:sz w:val="24"/>
          <w:szCs w:val="24"/>
        </w:rPr>
        <w:t xml:space="preserve"> türleri (EUCAST flukonazol açıklayıcı dökümanı (2007)-versiyon 2) için flukonazol kırılma noktalarını belirlemiştir. Bunlar </w:t>
      </w:r>
      <w:r w:rsidR="00DA52E5" w:rsidRPr="006A316D">
        <w:rPr>
          <w:rFonts w:ascii="Times New Roman" w:hAnsi="Times New Roman" w:cs="Times New Roman"/>
          <w:sz w:val="24"/>
          <w:szCs w:val="24"/>
        </w:rPr>
        <w:t>P</w:t>
      </w:r>
      <w:r w:rsidRPr="006A316D">
        <w:rPr>
          <w:rFonts w:ascii="Times New Roman" w:hAnsi="Times New Roman" w:cs="Times New Roman"/>
          <w:sz w:val="24"/>
          <w:szCs w:val="24"/>
        </w:rPr>
        <w:t>K/</w:t>
      </w:r>
      <w:r w:rsidR="00DA52E5" w:rsidRPr="006A316D">
        <w:rPr>
          <w:rFonts w:ascii="Times New Roman" w:hAnsi="Times New Roman" w:cs="Times New Roman"/>
          <w:sz w:val="24"/>
          <w:szCs w:val="24"/>
        </w:rPr>
        <w:t>P</w:t>
      </w:r>
      <w:r w:rsidRPr="006A316D">
        <w:rPr>
          <w:rFonts w:ascii="Times New Roman" w:hAnsi="Times New Roman" w:cs="Times New Roman"/>
          <w:sz w:val="24"/>
          <w:szCs w:val="24"/>
        </w:rPr>
        <w:t>D verilerine dayanarak belirlenmiş olup türden bağımsız kırılma noktaları (belirli türlerin M</w:t>
      </w:r>
      <w:r w:rsidR="0080750D" w:rsidRPr="006A316D">
        <w:rPr>
          <w:rFonts w:ascii="Times New Roman" w:hAnsi="Times New Roman" w:cs="Times New Roman"/>
          <w:sz w:val="24"/>
          <w:szCs w:val="24"/>
        </w:rPr>
        <w:t>I</w:t>
      </w:r>
      <w:r w:rsidRPr="006A316D">
        <w:rPr>
          <w:rFonts w:ascii="Times New Roman" w:hAnsi="Times New Roman" w:cs="Times New Roman"/>
          <w:sz w:val="24"/>
          <w:szCs w:val="24"/>
        </w:rPr>
        <w:t>K dağılımından bağımsız olan) ve türe bağlı kırılma noktaları (insan enfeksiyonları ile en sık ilişkili olan ) olarak bölünmüşlerdir. Bu kırılma noktaları aşağıdaki tabloda verilmiştir.</w:t>
      </w:r>
    </w:p>
    <w:p w14:paraId="4A2CCE44" w14:textId="77777777" w:rsidR="00F22692" w:rsidRPr="006A316D" w:rsidRDefault="00F22692" w:rsidP="00703BEA">
      <w:pPr>
        <w:spacing w:after="0" w:line="240" w:lineRule="auto"/>
        <w:ind w:left="284"/>
        <w:jc w:val="both"/>
        <w:rPr>
          <w:rFonts w:ascii="Times New Roman" w:hAnsi="Times New Roman" w:cs="Times New Roman"/>
          <w:sz w:val="24"/>
          <w:szCs w:val="24"/>
        </w:rPr>
      </w:pPr>
    </w:p>
    <w:p w14:paraId="5234C155" w14:textId="77777777" w:rsidR="00703BEA" w:rsidRPr="006A316D" w:rsidRDefault="00703BEA" w:rsidP="00703BEA">
      <w:pPr>
        <w:spacing w:after="0" w:line="240" w:lineRule="auto"/>
        <w:ind w:left="284"/>
        <w:jc w:val="both"/>
        <w:rPr>
          <w:rFonts w:ascii="Times New Roman" w:hAnsi="Times New Roman" w:cs="Times New Roman"/>
          <w:sz w:val="24"/>
          <w:szCs w:val="24"/>
        </w:rPr>
      </w:pPr>
    </w:p>
    <w:tbl>
      <w:tblPr>
        <w:tblStyle w:val="TabloKlavuzu"/>
        <w:tblW w:w="0" w:type="auto"/>
        <w:tblInd w:w="392" w:type="dxa"/>
        <w:tblLook w:val="04A0" w:firstRow="1" w:lastRow="0" w:firstColumn="1" w:lastColumn="0" w:noHBand="0" w:noVBand="1"/>
      </w:tblPr>
      <w:tblGrid>
        <w:gridCol w:w="1296"/>
        <w:gridCol w:w="1226"/>
        <w:gridCol w:w="1225"/>
        <w:gridCol w:w="1225"/>
        <w:gridCol w:w="1341"/>
        <w:gridCol w:w="1209"/>
        <w:gridCol w:w="1232"/>
      </w:tblGrid>
      <w:tr w:rsidR="006A316D" w:rsidRPr="006A316D" w14:paraId="5D46313C" w14:textId="77777777" w:rsidTr="00703BEA">
        <w:trPr>
          <w:trHeight w:val="1319"/>
        </w:trPr>
        <w:tc>
          <w:tcPr>
            <w:tcW w:w="1296" w:type="dxa"/>
          </w:tcPr>
          <w:p w14:paraId="4CE9B4D7" w14:textId="77777777" w:rsidR="00703BEA" w:rsidRPr="006A316D" w:rsidRDefault="00703BEA" w:rsidP="00703BEA">
            <w:pPr>
              <w:jc w:val="both"/>
              <w:rPr>
                <w:rFonts w:ascii="Times New Roman" w:hAnsi="Times New Roman" w:cs="Times New Roman"/>
                <w:sz w:val="24"/>
                <w:szCs w:val="24"/>
              </w:rPr>
            </w:pPr>
            <w:r w:rsidRPr="006A316D">
              <w:rPr>
                <w:rFonts w:ascii="Times New Roman" w:hAnsi="Times New Roman" w:cs="Times New Roman"/>
                <w:sz w:val="24"/>
                <w:szCs w:val="24"/>
              </w:rPr>
              <w:t>Antifungal</w:t>
            </w:r>
          </w:p>
        </w:tc>
        <w:tc>
          <w:tcPr>
            <w:tcW w:w="6226" w:type="dxa"/>
            <w:gridSpan w:val="5"/>
          </w:tcPr>
          <w:p w14:paraId="3CCB8994" w14:textId="77777777" w:rsidR="00703BEA" w:rsidRPr="006A316D" w:rsidRDefault="00703BEA" w:rsidP="00703BEA">
            <w:pPr>
              <w:pStyle w:val="Default"/>
              <w:rPr>
                <w:color w:val="auto"/>
                <w:sz w:val="23"/>
                <w:szCs w:val="23"/>
              </w:rPr>
            </w:pPr>
            <w:r w:rsidRPr="006A316D">
              <w:rPr>
                <w:color w:val="auto"/>
                <w:sz w:val="23"/>
                <w:szCs w:val="23"/>
              </w:rPr>
              <w:t xml:space="preserve">Türe bağlı kırılma noktaları (S&lt;/R&gt;) </w:t>
            </w:r>
          </w:p>
        </w:tc>
        <w:tc>
          <w:tcPr>
            <w:tcW w:w="1232" w:type="dxa"/>
          </w:tcPr>
          <w:p w14:paraId="6769B4B3" w14:textId="77777777" w:rsidR="00703BEA" w:rsidRPr="006A316D" w:rsidRDefault="00703BEA" w:rsidP="00703BEA">
            <w:pPr>
              <w:pStyle w:val="Default"/>
              <w:rPr>
                <w:color w:val="auto"/>
              </w:rPr>
            </w:pPr>
            <w:r w:rsidRPr="006A316D">
              <w:rPr>
                <w:color w:val="auto"/>
              </w:rPr>
              <w:t>Türden bağımsız kırılma noktaları</w:t>
            </w:r>
            <w:r w:rsidRPr="006A316D">
              <w:rPr>
                <w:color w:val="auto"/>
                <w:vertAlign w:val="superscript"/>
              </w:rPr>
              <w:t>A</w:t>
            </w:r>
            <w:r w:rsidRPr="006A316D">
              <w:rPr>
                <w:color w:val="auto"/>
              </w:rPr>
              <w:t xml:space="preserve"> S≤/R&gt; </w:t>
            </w:r>
          </w:p>
        </w:tc>
      </w:tr>
      <w:tr w:rsidR="006A316D" w:rsidRPr="006A316D" w14:paraId="1301B4DB" w14:textId="77777777" w:rsidTr="00703BEA">
        <w:trPr>
          <w:trHeight w:val="499"/>
        </w:trPr>
        <w:tc>
          <w:tcPr>
            <w:tcW w:w="1296" w:type="dxa"/>
          </w:tcPr>
          <w:p w14:paraId="68DBAE73" w14:textId="77777777" w:rsidR="00703BEA" w:rsidRPr="006A316D" w:rsidRDefault="00703BEA" w:rsidP="00703BEA">
            <w:pPr>
              <w:jc w:val="both"/>
              <w:rPr>
                <w:rFonts w:ascii="Times New Roman" w:hAnsi="Times New Roman" w:cs="Times New Roman"/>
                <w:sz w:val="24"/>
                <w:szCs w:val="24"/>
              </w:rPr>
            </w:pPr>
          </w:p>
        </w:tc>
        <w:tc>
          <w:tcPr>
            <w:tcW w:w="1226" w:type="dxa"/>
          </w:tcPr>
          <w:p w14:paraId="4EC061F2" w14:textId="77777777" w:rsidR="00703BEA" w:rsidRPr="006A316D" w:rsidRDefault="00703BEA" w:rsidP="00703BEA">
            <w:pPr>
              <w:pStyle w:val="Default"/>
              <w:rPr>
                <w:color w:val="auto"/>
                <w:sz w:val="23"/>
                <w:szCs w:val="23"/>
              </w:rPr>
            </w:pPr>
            <w:r w:rsidRPr="006A316D">
              <w:rPr>
                <w:i/>
                <w:iCs/>
                <w:color w:val="auto"/>
                <w:sz w:val="23"/>
                <w:szCs w:val="23"/>
              </w:rPr>
              <w:t xml:space="preserve">Candida albicans </w:t>
            </w:r>
          </w:p>
        </w:tc>
        <w:tc>
          <w:tcPr>
            <w:tcW w:w="1225" w:type="dxa"/>
          </w:tcPr>
          <w:p w14:paraId="457A5788" w14:textId="77777777" w:rsidR="00703BEA" w:rsidRPr="006A316D" w:rsidRDefault="00703BEA" w:rsidP="00703BEA">
            <w:pPr>
              <w:pStyle w:val="Default"/>
              <w:rPr>
                <w:color w:val="auto"/>
                <w:sz w:val="23"/>
                <w:szCs w:val="23"/>
              </w:rPr>
            </w:pPr>
            <w:r w:rsidRPr="006A316D">
              <w:rPr>
                <w:i/>
                <w:iCs/>
                <w:color w:val="auto"/>
                <w:sz w:val="23"/>
                <w:szCs w:val="23"/>
              </w:rPr>
              <w:t xml:space="preserve">Candida glabrata </w:t>
            </w:r>
          </w:p>
        </w:tc>
        <w:tc>
          <w:tcPr>
            <w:tcW w:w="1225" w:type="dxa"/>
          </w:tcPr>
          <w:p w14:paraId="017CD55A" w14:textId="77777777" w:rsidR="00703BEA" w:rsidRPr="006A316D" w:rsidRDefault="00703BEA" w:rsidP="00703BEA">
            <w:pPr>
              <w:pStyle w:val="Default"/>
              <w:rPr>
                <w:color w:val="auto"/>
                <w:sz w:val="23"/>
                <w:szCs w:val="23"/>
              </w:rPr>
            </w:pPr>
            <w:r w:rsidRPr="006A316D">
              <w:rPr>
                <w:i/>
                <w:iCs/>
                <w:color w:val="auto"/>
                <w:sz w:val="23"/>
                <w:szCs w:val="23"/>
              </w:rPr>
              <w:t xml:space="preserve">Candida krusei </w:t>
            </w:r>
          </w:p>
        </w:tc>
        <w:tc>
          <w:tcPr>
            <w:tcW w:w="1341" w:type="dxa"/>
          </w:tcPr>
          <w:p w14:paraId="2D11821D" w14:textId="77777777" w:rsidR="00703BEA" w:rsidRPr="006A316D" w:rsidRDefault="00703BEA" w:rsidP="00703BEA">
            <w:pPr>
              <w:pStyle w:val="Default"/>
              <w:rPr>
                <w:color w:val="auto"/>
                <w:sz w:val="23"/>
                <w:szCs w:val="23"/>
              </w:rPr>
            </w:pPr>
            <w:r w:rsidRPr="006A316D">
              <w:rPr>
                <w:i/>
                <w:iCs/>
                <w:color w:val="auto"/>
                <w:sz w:val="23"/>
                <w:szCs w:val="23"/>
              </w:rPr>
              <w:t xml:space="preserve">Candida parapsilosis </w:t>
            </w:r>
          </w:p>
        </w:tc>
        <w:tc>
          <w:tcPr>
            <w:tcW w:w="1209" w:type="dxa"/>
          </w:tcPr>
          <w:p w14:paraId="13B950A8" w14:textId="77777777" w:rsidR="00703BEA" w:rsidRPr="006A316D" w:rsidRDefault="00703BEA" w:rsidP="00703BEA">
            <w:pPr>
              <w:pStyle w:val="Default"/>
              <w:rPr>
                <w:color w:val="auto"/>
                <w:sz w:val="23"/>
                <w:szCs w:val="23"/>
              </w:rPr>
            </w:pPr>
            <w:r w:rsidRPr="006A316D">
              <w:rPr>
                <w:i/>
                <w:iCs/>
                <w:color w:val="auto"/>
                <w:sz w:val="23"/>
                <w:szCs w:val="23"/>
              </w:rPr>
              <w:t xml:space="preserve">Candida tropicalis </w:t>
            </w:r>
          </w:p>
        </w:tc>
        <w:tc>
          <w:tcPr>
            <w:tcW w:w="1232" w:type="dxa"/>
          </w:tcPr>
          <w:p w14:paraId="4757EBE6" w14:textId="77777777" w:rsidR="00703BEA" w:rsidRPr="006A316D" w:rsidRDefault="00703BEA" w:rsidP="00703BEA">
            <w:pPr>
              <w:jc w:val="both"/>
              <w:rPr>
                <w:rFonts w:ascii="Times New Roman" w:hAnsi="Times New Roman" w:cs="Times New Roman"/>
                <w:sz w:val="24"/>
                <w:szCs w:val="24"/>
              </w:rPr>
            </w:pPr>
          </w:p>
        </w:tc>
      </w:tr>
      <w:tr w:rsidR="00703BEA" w:rsidRPr="006A316D" w14:paraId="6C2C2B60" w14:textId="77777777" w:rsidTr="00703BEA">
        <w:trPr>
          <w:trHeight w:val="256"/>
        </w:trPr>
        <w:tc>
          <w:tcPr>
            <w:tcW w:w="1296" w:type="dxa"/>
          </w:tcPr>
          <w:p w14:paraId="4383ECB5" w14:textId="77777777" w:rsidR="00703BEA" w:rsidRPr="006A316D" w:rsidRDefault="00703BEA" w:rsidP="00703BEA">
            <w:pPr>
              <w:jc w:val="both"/>
              <w:rPr>
                <w:rFonts w:ascii="Times New Roman" w:hAnsi="Times New Roman" w:cs="Times New Roman"/>
                <w:sz w:val="24"/>
                <w:szCs w:val="24"/>
              </w:rPr>
            </w:pPr>
            <w:r w:rsidRPr="006A316D">
              <w:rPr>
                <w:rFonts w:ascii="Times New Roman" w:hAnsi="Times New Roman" w:cs="Times New Roman"/>
                <w:sz w:val="24"/>
                <w:szCs w:val="24"/>
              </w:rPr>
              <w:t>Flukonazol</w:t>
            </w:r>
          </w:p>
        </w:tc>
        <w:tc>
          <w:tcPr>
            <w:tcW w:w="1226" w:type="dxa"/>
          </w:tcPr>
          <w:p w14:paraId="371CA99B" w14:textId="77777777" w:rsidR="00703BEA" w:rsidRPr="006A316D" w:rsidRDefault="00703BEA" w:rsidP="00703BEA">
            <w:pPr>
              <w:pStyle w:val="Default"/>
              <w:rPr>
                <w:color w:val="auto"/>
                <w:sz w:val="23"/>
                <w:szCs w:val="23"/>
              </w:rPr>
            </w:pPr>
            <w:r w:rsidRPr="006A316D">
              <w:rPr>
                <w:color w:val="auto"/>
                <w:sz w:val="23"/>
                <w:szCs w:val="23"/>
              </w:rPr>
              <w:t xml:space="preserve">2/4 </w:t>
            </w:r>
          </w:p>
        </w:tc>
        <w:tc>
          <w:tcPr>
            <w:tcW w:w="1225" w:type="dxa"/>
          </w:tcPr>
          <w:p w14:paraId="61A36E95" w14:textId="77777777" w:rsidR="00703BEA" w:rsidRPr="006A316D" w:rsidRDefault="00703BEA" w:rsidP="00703BEA">
            <w:pPr>
              <w:pStyle w:val="Default"/>
              <w:rPr>
                <w:color w:val="auto"/>
                <w:sz w:val="23"/>
                <w:szCs w:val="23"/>
              </w:rPr>
            </w:pPr>
            <w:r w:rsidRPr="006A316D">
              <w:rPr>
                <w:color w:val="auto"/>
                <w:sz w:val="23"/>
                <w:szCs w:val="23"/>
              </w:rPr>
              <w:t xml:space="preserve">IE </w:t>
            </w:r>
          </w:p>
        </w:tc>
        <w:tc>
          <w:tcPr>
            <w:tcW w:w="1225" w:type="dxa"/>
          </w:tcPr>
          <w:p w14:paraId="55D62AB6" w14:textId="77777777" w:rsidR="00703BEA" w:rsidRPr="006A316D" w:rsidRDefault="00703BEA" w:rsidP="00703BEA">
            <w:pPr>
              <w:jc w:val="both"/>
              <w:rPr>
                <w:rFonts w:ascii="Times New Roman" w:hAnsi="Times New Roman" w:cs="Times New Roman"/>
                <w:sz w:val="24"/>
                <w:szCs w:val="24"/>
              </w:rPr>
            </w:pPr>
            <w:r w:rsidRPr="006A316D">
              <w:rPr>
                <w:rFonts w:ascii="Times New Roman" w:hAnsi="Times New Roman" w:cs="Times New Roman"/>
                <w:sz w:val="24"/>
                <w:szCs w:val="24"/>
              </w:rPr>
              <w:t>--</w:t>
            </w:r>
          </w:p>
        </w:tc>
        <w:tc>
          <w:tcPr>
            <w:tcW w:w="1341" w:type="dxa"/>
          </w:tcPr>
          <w:p w14:paraId="14316721" w14:textId="77777777" w:rsidR="00703BEA" w:rsidRPr="006A316D" w:rsidRDefault="00703BEA" w:rsidP="00703BEA">
            <w:pPr>
              <w:pStyle w:val="Default"/>
              <w:rPr>
                <w:color w:val="auto"/>
                <w:sz w:val="23"/>
                <w:szCs w:val="23"/>
              </w:rPr>
            </w:pPr>
            <w:r w:rsidRPr="006A316D">
              <w:rPr>
                <w:color w:val="auto"/>
                <w:sz w:val="23"/>
                <w:szCs w:val="23"/>
              </w:rPr>
              <w:t xml:space="preserve">2/4 </w:t>
            </w:r>
          </w:p>
        </w:tc>
        <w:tc>
          <w:tcPr>
            <w:tcW w:w="1209" w:type="dxa"/>
          </w:tcPr>
          <w:p w14:paraId="464E1CC1" w14:textId="77777777" w:rsidR="00703BEA" w:rsidRPr="006A316D" w:rsidRDefault="00703BEA" w:rsidP="00703BEA">
            <w:pPr>
              <w:pStyle w:val="Default"/>
              <w:rPr>
                <w:color w:val="auto"/>
                <w:sz w:val="23"/>
                <w:szCs w:val="23"/>
              </w:rPr>
            </w:pPr>
            <w:r w:rsidRPr="006A316D">
              <w:rPr>
                <w:color w:val="auto"/>
                <w:sz w:val="23"/>
                <w:szCs w:val="23"/>
              </w:rPr>
              <w:t xml:space="preserve">2/4 </w:t>
            </w:r>
          </w:p>
        </w:tc>
        <w:tc>
          <w:tcPr>
            <w:tcW w:w="1232" w:type="dxa"/>
          </w:tcPr>
          <w:p w14:paraId="3DB1E1B1" w14:textId="77777777" w:rsidR="00703BEA" w:rsidRPr="006A316D" w:rsidRDefault="00703BEA" w:rsidP="00703BEA">
            <w:pPr>
              <w:pStyle w:val="Default"/>
              <w:rPr>
                <w:color w:val="auto"/>
                <w:sz w:val="23"/>
                <w:szCs w:val="23"/>
              </w:rPr>
            </w:pPr>
            <w:r w:rsidRPr="006A316D">
              <w:rPr>
                <w:color w:val="auto"/>
                <w:sz w:val="23"/>
                <w:szCs w:val="23"/>
              </w:rPr>
              <w:t xml:space="preserve">2/4 </w:t>
            </w:r>
          </w:p>
        </w:tc>
      </w:tr>
    </w:tbl>
    <w:p w14:paraId="7588E72D" w14:textId="77777777" w:rsidR="00703BEA" w:rsidRPr="006A316D" w:rsidRDefault="00703BEA" w:rsidP="00703BEA">
      <w:pPr>
        <w:spacing w:after="0" w:line="240" w:lineRule="auto"/>
        <w:ind w:left="284"/>
        <w:jc w:val="both"/>
        <w:rPr>
          <w:rFonts w:ascii="Times New Roman" w:hAnsi="Times New Roman" w:cs="Times New Roman"/>
          <w:sz w:val="24"/>
          <w:szCs w:val="24"/>
        </w:rPr>
      </w:pPr>
    </w:p>
    <w:p w14:paraId="2019995E" w14:textId="77777777" w:rsidR="00703BEA" w:rsidRPr="006A316D" w:rsidRDefault="00703BEA" w:rsidP="00703BE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lastRenderedPageBreak/>
        <w:t>S = Duyarlılık, R = Direnç</w:t>
      </w:r>
    </w:p>
    <w:p w14:paraId="111D73E8" w14:textId="77777777" w:rsidR="00703BEA" w:rsidRPr="006A316D" w:rsidRDefault="00703BEA" w:rsidP="00703BE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A = Türden bağımsız kırılma noktaları </w:t>
      </w:r>
      <w:r w:rsidR="00D72A1B" w:rsidRPr="006A316D">
        <w:rPr>
          <w:rFonts w:ascii="Times New Roman" w:hAnsi="Times New Roman" w:cs="Times New Roman"/>
          <w:sz w:val="24"/>
          <w:szCs w:val="24"/>
        </w:rPr>
        <w:t>P</w:t>
      </w:r>
      <w:r w:rsidRPr="006A316D">
        <w:rPr>
          <w:rFonts w:ascii="Times New Roman" w:hAnsi="Times New Roman" w:cs="Times New Roman"/>
          <w:sz w:val="24"/>
          <w:szCs w:val="24"/>
        </w:rPr>
        <w:t>K/</w:t>
      </w:r>
      <w:r w:rsidR="00D72A1B" w:rsidRPr="006A316D">
        <w:rPr>
          <w:rFonts w:ascii="Times New Roman" w:hAnsi="Times New Roman" w:cs="Times New Roman"/>
          <w:sz w:val="24"/>
          <w:szCs w:val="24"/>
        </w:rPr>
        <w:t>P</w:t>
      </w:r>
      <w:r w:rsidRPr="006A316D">
        <w:rPr>
          <w:rFonts w:ascii="Times New Roman" w:hAnsi="Times New Roman" w:cs="Times New Roman"/>
          <w:sz w:val="24"/>
          <w:szCs w:val="24"/>
        </w:rPr>
        <w:t>D verilerine dayanarak belirlenmiş olup belirli türlerin MİK dağılımından bağımsızdır. Bunlar sadece belli bir kırılma noktaları olmayan organizmalar için kullanılır.</w:t>
      </w:r>
    </w:p>
    <w:p w14:paraId="31F44D12" w14:textId="77777777" w:rsidR="00703BEA" w:rsidRPr="006A316D" w:rsidRDefault="00703BEA" w:rsidP="00703BE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 Duyarlılık testi tür ilaç ile tedavi için zayıf bir hedef ise önerilmez.</w:t>
      </w:r>
    </w:p>
    <w:p w14:paraId="043D7173" w14:textId="77777777" w:rsidR="00ED2805" w:rsidRPr="006A316D" w:rsidRDefault="00703BEA" w:rsidP="00703BEA">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IE = Türün ilaç ile tedavi için uygun bir hedef olduğuna dair kanıtlar yetersizdir.</w:t>
      </w:r>
    </w:p>
    <w:p w14:paraId="44360E50" w14:textId="77777777" w:rsidR="00CA7DA5" w:rsidRPr="006A316D" w:rsidRDefault="00CA7DA5" w:rsidP="00ED2805">
      <w:pPr>
        <w:spacing w:after="0" w:line="240" w:lineRule="auto"/>
        <w:jc w:val="both"/>
        <w:rPr>
          <w:rFonts w:ascii="Times New Roman" w:hAnsi="Times New Roman" w:cs="Times New Roman"/>
          <w:sz w:val="24"/>
          <w:szCs w:val="24"/>
        </w:rPr>
      </w:pPr>
    </w:p>
    <w:p w14:paraId="68CFDC1E" w14:textId="77777777" w:rsidR="00ED2805" w:rsidRPr="006A316D" w:rsidRDefault="00ED2805" w:rsidP="0073224E">
      <w:pPr>
        <w:spacing w:after="6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5.2. Farmakokinetik özellikler</w:t>
      </w:r>
    </w:p>
    <w:p w14:paraId="093C4890" w14:textId="77777777" w:rsidR="00ED2805" w:rsidRPr="006A316D" w:rsidRDefault="00ED2805" w:rsidP="009C388B">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Genel özellikler</w:t>
      </w:r>
    </w:p>
    <w:p w14:paraId="68B871BC" w14:textId="77777777" w:rsidR="00B458FD" w:rsidRPr="006A316D" w:rsidRDefault="00B458FD" w:rsidP="009C388B">
      <w:pPr>
        <w:spacing w:after="0" w:line="240" w:lineRule="auto"/>
        <w:ind w:left="284"/>
        <w:jc w:val="both"/>
        <w:rPr>
          <w:rFonts w:ascii="Times New Roman" w:hAnsi="Times New Roman" w:cs="Times New Roman"/>
          <w:sz w:val="24"/>
          <w:szCs w:val="24"/>
          <w:u w:val="single"/>
        </w:rPr>
      </w:pPr>
    </w:p>
    <w:p w14:paraId="06F026B2" w14:textId="77777777" w:rsidR="00ED2805" w:rsidRPr="006A316D" w:rsidRDefault="00ED2805" w:rsidP="009C388B">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Emilim:</w:t>
      </w:r>
    </w:p>
    <w:p w14:paraId="460935A2" w14:textId="77777777" w:rsidR="00ED2805" w:rsidRPr="006A316D" w:rsidRDefault="00ED2805" w:rsidP="009C388B">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Flukonazolün oral veya intravenöz uygulamalarının farmakokinetik özellikleri birbirine</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benzemektedir. Flukonazol, oral uygulamayı takiben iyi absorbe olur ve plazma düzeyi (ve</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sistemik bi</w:t>
      </w:r>
      <w:r w:rsidR="00896D74" w:rsidRPr="006A316D">
        <w:rPr>
          <w:rFonts w:ascii="Times New Roman" w:hAnsi="Times New Roman" w:cs="Times New Roman"/>
          <w:sz w:val="24"/>
          <w:szCs w:val="24"/>
        </w:rPr>
        <w:t>y</w:t>
      </w:r>
      <w:r w:rsidRPr="006A316D">
        <w:rPr>
          <w:rFonts w:ascii="Times New Roman" w:hAnsi="Times New Roman" w:cs="Times New Roman"/>
          <w:sz w:val="24"/>
          <w:szCs w:val="24"/>
        </w:rPr>
        <w:t>oyararlılık) intravenöz uygulamayı takiben erişilen düzeylerin %90'ından</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yüksektir. Oral absorbsiyonu gıda ile birlikte alınmasından etkilenmez. Açlık halinde doruk</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plazma düzeyi, uygulamadan 0</w:t>
      </w:r>
      <w:r w:rsidR="00896D74" w:rsidRPr="006A316D">
        <w:rPr>
          <w:rFonts w:ascii="Times New Roman" w:hAnsi="Times New Roman" w:cs="Times New Roman"/>
          <w:sz w:val="24"/>
          <w:szCs w:val="24"/>
        </w:rPr>
        <w:t>,</w:t>
      </w:r>
      <w:r w:rsidRPr="006A316D">
        <w:rPr>
          <w:rFonts w:ascii="Times New Roman" w:hAnsi="Times New Roman" w:cs="Times New Roman"/>
          <w:sz w:val="24"/>
          <w:szCs w:val="24"/>
        </w:rPr>
        <w:t>5-1</w:t>
      </w:r>
      <w:r w:rsidR="00896D74" w:rsidRPr="006A316D">
        <w:rPr>
          <w:rFonts w:ascii="Times New Roman" w:hAnsi="Times New Roman" w:cs="Times New Roman"/>
          <w:sz w:val="24"/>
          <w:szCs w:val="24"/>
        </w:rPr>
        <w:t>,</w:t>
      </w:r>
      <w:r w:rsidRPr="006A316D">
        <w:rPr>
          <w:rFonts w:ascii="Times New Roman" w:hAnsi="Times New Roman" w:cs="Times New Roman"/>
          <w:sz w:val="24"/>
          <w:szCs w:val="24"/>
        </w:rPr>
        <w:t>5 saat sonra oluşur. Plazma konsantrasyonları dozla orantılıdır. Günde bir defalık dozların</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 xml:space="preserve">tekrarlanan uygulamasıyla %90 istikrarlı durum (steady state) seviyelerine 4-5. </w:t>
      </w:r>
      <w:r w:rsidR="00896D74" w:rsidRPr="006A316D">
        <w:rPr>
          <w:rFonts w:ascii="Times New Roman" w:hAnsi="Times New Roman" w:cs="Times New Roman"/>
          <w:sz w:val="24"/>
          <w:szCs w:val="24"/>
        </w:rPr>
        <w:t xml:space="preserve">günlerde </w:t>
      </w:r>
      <w:r w:rsidRPr="006A316D">
        <w:rPr>
          <w:rFonts w:ascii="Times New Roman" w:hAnsi="Times New Roman" w:cs="Times New Roman"/>
          <w:sz w:val="24"/>
          <w:szCs w:val="24"/>
        </w:rPr>
        <w:t>erişilir. İlk gün, mutad günlük dozun iki misli olarak verilen yükleme dozu, ikinci günde</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plazma düzeylerinin yaklaşık %90 istikrarlı durum seviyelerine erişmesini sağlar.</w:t>
      </w:r>
    </w:p>
    <w:p w14:paraId="6A5B5FD1" w14:textId="77777777" w:rsidR="00ED2805" w:rsidRPr="006A316D" w:rsidRDefault="00ED2805" w:rsidP="009C388B">
      <w:pPr>
        <w:spacing w:after="0" w:line="240" w:lineRule="auto"/>
        <w:ind w:left="284"/>
        <w:jc w:val="both"/>
        <w:rPr>
          <w:rFonts w:ascii="Times New Roman" w:hAnsi="Times New Roman" w:cs="Times New Roman"/>
          <w:sz w:val="24"/>
          <w:szCs w:val="24"/>
        </w:rPr>
      </w:pPr>
    </w:p>
    <w:p w14:paraId="4E77B835" w14:textId="77777777" w:rsidR="00ED2805" w:rsidRPr="006A316D" w:rsidRDefault="00ED2805" w:rsidP="009C388B">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Dağılım:</w:t>
      </w:r>
    </w:p>
    <w:p w14:paraId="61E29694" w14:textId="77777777" w:rsidR="00B96050" w:rsidRPr="006A316D" w:rsidRDefault="00ED2805" w:rsidP="009C388B">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Görünür dağılım hacmi, yaklaşık olarak toplam vücut sıvısına eşittir. Plazma proteinlerine</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bağlanma düşüktür (%11 - 12).</w:t>
      </w:r>
      <w:r w:rsidR="00B96050" w:rsidRPr="006A316D">
        <w:rPr>
          <w:rFonts w:ascii="Times New Roman" w:hAnsi="Times New Roman" w:cs="Times New Roman"/>
          <w:sz w:val="24"/>
          <w:szCs w:val="24"/>
        </w:rPr>
        <w:t xml:space="preserve"> </w:t>
      </w:r>
    </w:p>
    <w:p w14:paraId="4CB796FD" w14:textId="77777777" w:rsidR="00ED2805" w:rsidRPr="006A316D" w:rsidRDefault="00ED2805" w:rsidP="009C388B">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incelenen tüm vücut sıvılarına iyi bir penetrasyon gösterir. Tükürük ve</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balgamdaki flukonazol seviyeleri, plazma düzeyleri ile benzerlik gösterir. Fungal menenjitli</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 xml:space="preserve">hastalarda BOS (beyin omurilik sıvısı)'daki flukonazol seviyeleri, </w:t>
      </w:r>
      <w:r w:rsidR="009E5A98" w:rsidRPr="006A316D">
        <w:rPr>
          <w:rFonts w:ascii="Times New Roman" w:hAnsi="Times New Roman" w:cs="Times New Roman"/>
          <w:sz w:val="24"/>
          <w:szCs w:val="24"/>
        </w:rPr>
        <w:t xml:space="preserve">buna tekabül eden </w:t>
      </w:r>
      <w:r w:rsidRPr="006A316D">
        <w:rPr>
          <w:rFonts w:ascii="Times New Roman" w:hAnsi="Times New Roman" w:cs="Times New Roman"/>
          <w:sz w:val="24"/>
          <w:szCs w:val="24"/>
        </w:rPr>
        <w:t>plazma</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 xml:space="preserve">düzeylerinin </w:t>
      </w:r>
      <w:r w:rsidR="009E5A98" w:rsidRPr="006A316D">
        <w:rPr>
          <w:rFonts w:ascii="Times New Roman" w:hAnsi="Times New Roman" w:cs="Times New Roman"/>
          <w:sz w:val="24"/>
          <w:szCs w:val="24"/>
        </w:rPr>
        <w:t>takriben</w:t>
      </w:r>
      <w:r w:rsidR="00896D74" w:rsidRPr="006A316D">
        <w:rPr>
          <w:rFonts w:ascii="Times New Roman" w:hAnsi="Times New Roman" w:cs="Times New Roman"/>
          <w:sz w:val="24"/>
          <w:szCs w:val="24"/>
        </w:rPr>
        <w:t xml:space="preserve"> </w:t>
      </w:r>
      <w:r w:rsidRPr="006A316D">
        <w:rPr>
          <w:rFonts w:ascii="Times New Roman" w:hAnsi="Times New Roman" w:cs="Times New Roman"/>
          <w:sz w:val="24"/>
          <w:szCs w:val="24"/>
        </w:rPr>
        <w:t>%80</w:t>
      </w:r>
      <w:r w:rsidR="006A2E25" w:rsidRPr="006A316D">
        <w:rPr>
          <w:rFonts w:ascii="Times New Roman" w:hAnsi="Times New Roman" w:cs="Times New Roman"/>
          <w:sz w:val="24"/>
          <w:szCs w:val="24"/>
        </w:rPr>
        <w:t>’</w:t>
      </w:r>
      <w:r w:rsidRPr="006A316D">
        <w:rPr>
          <w:rFonts w:ascii="Times New Roman" w:hAnsi="Times New Roman" w:cs="Times New Roman"/>
          <w:sz w:val="24"/>
          <w:szCs w:val="24"/>
        </w:rPr>
        <w:t>idir.</w:t>
      </w:r>
    </w:p>
    <w:p w14:paraId="3A283EFA" w14:textId="77777777" w:rsidR="00B96050" w:rsidRPr="006A316D" w:rsidRDefault="00B96050" w:rsidP="009C388B">
      <w:pPr>
        <w:spacing w:after="0" w:line="240" w:lineRule="auto"/>
        <w:ind w:left="284"/>
        <w:jc w:val="both"/>
        <w:rPr>
          <w:rFonts w:ascii="Times New Roman" w:hAnsi="Times New Roman" w:cs="Times New Roman"/>
          <w:sz w:val="24"/>
          <w:szCs w:val="24"/>
        </w:rPr>
      </w:pPr>
    </w:p>
    <w:p w14:paraId="3504D935" w14:textId="77777777" w:rsidR="00ED2805" w:rsidRPr="006A316D" w:rsidRDefault="00ED2805" w:rsidP="009C388B">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stratum corneum, epidermis - dermis ve ter bezlerinde, serum</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konsantrasyonlarının üzerinde, yüksek deri konsantrasyonlarına ulaşır. Flukonazol, stratum</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corneum’d</w:t>
      </w:r>
      <w:r w:rsidR="00CA7DA5" w:rsidRPr="006A316D">
        <w:rPr>
          <w:rFonts w:ascii="Times New Roman" w:hAnsi="Times New Roman" w:cs="Times New Roman"/>
          <w:sz w:val="24"/>
          <w:szCs w:val="24"/>
        </w:rPr>
        <w:t>a birikir. Günde bir kez 50 mg’</w:t>
      </w:r>
      <w:r w:rsidRPr="006A316D">
        <w:rPr>
          <w:rFonts w:ascii="Times New Roman" w:hAnsi="Times New Roman" w:cs="Times New Roman"/>
          <w:sz w:val="24"/>
          <w:szCs w:val="24"/>
        </w:rPr>
        <w:t>lık dozla,</w:t>
      </w:r>
      <w:r w:rsidR="00896D74" w:rsidRPr="006A316D">
        <w:rPr>
          <w:rFonts w:ascii="Times New Roman" w:hAnsi="Times New Roman" w:cs="Times New Roman"/>
          <w:sz w:val="24"/>
          <w:szCs w:val="24"/>
        </w:rPr>
        <w:t xml:space="preserve"> </w:t>
      </w:r>
      <w:r w:rsidRPr="006A316D">
        <w:rPr>
          <w:rFonts w:ascii="Times New Roman" w:hAnsi="Times New Roman" w:cs="Times New Roman"/>
          <w:sz w:val="24"/>
          <w:szCs w:val="24"/>
        </w:rPr>
        <w:t>12 gün sonra flukonazol konsantrasyonu</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 xml:space="preserve">73 </w:t>
      </w:r>
      <w:r w:rsidR="001D7449" w:rsidRPr="006A316D">
        <w:rPr>
          <w:rFonts w:ascii="Times New Roman" w:hAnsi="Times New Roman" w:cs="Times New Roman"/>
          <w:sz w:val="24"/>
          <w:szCs w:val="24"/>
        </w:rPr>
        <w:t>mcg</w:t>
      </w:r>
      <w:r w:rsidRPr="006A316D">
        <w:rPr>
          <w:rFonts w:ascii="Times New Roman" w:hAnsi="Times New Roman" w:cs="Times New Roman"/>
          <w:sz w:val="24"/>
          <w:szCs w:val="24"/>
        </w:rPr>
        <w:t>/g, olmuştur ve tedavinin kesilmesinden 7 gün sonra konsantrasyon hala 5.8</w:t>
      </w:r>
      <w:r w:rsidR="00B96050" w:rsidRPr="006A316D">
        <w:rPr>
          <w:rFonts w:ascii="Times New Roman" w:hAnsi="Times New Roman" w:cs="Times New Roman"/>
          <w:sz w:val="24"/>
          <w:szCs w:val="24"/>
        </w:rPr>
        <w:t xml:space="preserve"> </w:t>
      </w:r>
      <w:r w:rsidR="001D7449" w:rsidRPr="006A316D">
        <w:rPr>
          <w:rFonts w:ascii="Times New Roman" w:hAnsi="Times New Roman" w:cs="Times New Roman"/>
          <w:sz w:val="24"/>
          <w:szCs w:val="24"/>
        </w:rPr>
        <w:t>mcg</w:t>
      </w:r>
      <w:r w:rsidRPr="006A316D">
        <w:rPr>
          <w:rFonts w:ascii="Times New Roman" w:hAnsi="Times New Roman" w:cs="Times New Roman"/>
          <w:sz w:val="24"/>
          <w:szCs w:val="24"/>
        </w:rPr>
        <w:t>/g’dır. Haftada bir kez 150 mg’ lık dozla, flukonazolun stratum corneum’daki</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konsantrasyonu 7.</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günde 23</w:t>
      </w:r>
      <w:r w:rsidR="00872260" w:rsidRPr="006A316D">
        <w:rPr>
          <w:rFonts w:ascii="Times New Roman" w:hAnsi="Times New Roman" w:cs="Times New Roman"/>
          <w:sz w:val="24"/>
          <w:szCs w:val="24"/>
        </w:rPr>
        <w:t>,</w:t>
      </w:r>
      <w:r w:rsidRPr="006A316D">
        <w:rPr>
          <w:rFonts w:ascii="Times New Roman" w:hAnsi="Times New Roman" w:cs="Times New Roman"/>
          <w:sz w:val="24"/>
          <w:szCs w:val="24"/>
        </w:rPr>
        <w:t xml:space="preserve">4 </w:t>
      </w:r>
      <w:r w:rsidR="001D7449" w:rsidRPr="006A316D">
        <w:rPr>
          <w:rFonts w:ascii="Times New Roman" w:hAnsi="Times New Roman" w:cs="Times New Roman"/>
          <w:sz w:val="24"/>
          <w:szCs w:val="24"/>
        </w:rPr>
        <w:t>mcg</w:t>
      </w:r>
      <w:r w:rsidRPr="006A316D">
        <w:rPr>
          <w:rFonts w:ascii="Times New Roman" w:hAnsi="Times New Roman" w:cs="Times New Roman"/>
          <w:sz w:val="24"/>
          <w:szCs w:val="24"/>
        </w:rPr>
        <w:t>/g olmuştur ve 2. dozdan 7 gün sonra hala 7</w:t>
      </w:r>
      <w:r w:rsidR="00872260" w:rsidRPr="006A316D">
        <w:rPr>
          <w:rFonts w:ascii="Times New Roman" w:hAnsi="Times New Roman" w:cs="Times New Roman"/>
          <w:sz w:val="24"/>
          <w:szCs w:val="24"/>
        </w:rPr>
        <w:t>,</w:t>
      </w:r>
      <w:r w:rsidRPr="006A316D">
        <w:rPr>
          <w:rFonts w:ascii="Times New Roman" w:hAnsi="Times New Roman" w:cs="Times New Roman"/>
          <w:sz w:val="24"/>
          <w:szCs w:val="24"/>
        </w:rPr>
        <w:t>1</w:t>
      </w:r>
      <w:r w:rsidR="00B96050" w:rsidRPr="006A316D">
        <w:rPr>
          <w:rFonts w:ascii="Times New Roman" w:hAnsi="Times New Roman" w:cs="Times New Roman"/>
          <w:sz w:val="24"/>
          <w:szCs w:val="24"/>
        </w:rPr>
        <w:t xml:space="preserve"> </w:t>
      </w:r>
      <w:r w:rsidR="001D7449" w:rsidRPr="006A316D">
        <w:rPr>
          <w:rFonts w:ascii="Times New Roman" w:hAnsi="Times New Roman" w:cs="Times New Roman"/>
          <w:sz w:val="24"/>
          <w:szCs w:val="24"/>
        </w:rPr>
        <w:t>mcg</w:t>
      </w:r>
      <w:r w:rsidRPr="006A316D">
        <w:rPr>
          <w:rFonts w:ascii="Times New Roman" w:hAnsi="Times New Roman" w:cs="Times New Roman"/>
          <w:sz w:val="24"/>
          <w:szCs w:val="24"/>
        </w:rPr>
        <w:t>/g’dır.</w:t>
      </w:r>
    </w:p>
    <w:p w14:paraId="160D9EAC" w14:textId="77777777" w:rsidR="00B96050" w:rsidRPr="006A316D" w:rsidRDefault="00B96050" w:rsidP="009C388B">
      <w:pPr>
        <w:spacing w:after="0" w:line="240" w:lineRule="auto"/>
        <w:ind w:left="284"/>
        <w:jc w:val="both"/>
        <w:rPr>
          <w:rFonts w:ascii="Times New Roman" w:hAnsi="Times New Roman" w:cs="Times New Roman"/>
          <w:sz w:val="24"/>
          <w:szCs w:val="24"/>
        </w:rPr>
      </w:pPr>
    </w:p>
    <w:p w14:paraId="238CECDA" w14:textId="77777777" w:rsidR="00ED2805" w:rsidRPr="006A316D" w:rsidRDefault="00ED2805" w:rsidP="009C388B">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Haftada bir kez, 150 mg dozundan 4 ay sonra, sağlıklı ve hasta tırnaklarda ölçülen flukonazol</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konsantrasyonu sırasıyla 4</w:t>
      </w:r>
      <w:r w:rsidR="00872260" w:rsidRPr="006A316D">
        <w:rPr>
          <w:rFonts w:ascii="Times New Roman" w:hAnsi="Times New Roman" w:cs="Times New Roman"/>
          <w:sz w:val="24"/>
          <w:szCs w:val="24"/>
        </w:rPr>
        <w:t>,</w:t>
      </w:r>
      <w:r w:rsidRPr="006A316D">
        <w:rPr>
          <w:rFonts w:ascii="Times New Roman" w:hAnsi="Times New Roman" w:cs="Times New Roman"/>
          <w:sz w:val="24"/>
          <w:szCs w:val="24"/>
        </w:rPr>
        <w:t xml:space="preserve">05 </w:t>
      </w:r>
      <w:r w:rsidR="001D7449" w:rsidRPr="006A316D">
        <w:rPr>
          <w:rFonts w:ascii="Times New Roman" w:hAnsi="Times New Roman" w:cs="Times New Roman"/>
          <w:sz w:val="24"/>
          <w:szCs w:val="24"/>
        </w:rPr>
        <w:t>mcg</w:t>
      </w:r>
      <w:r w:rsidRPr="006A316D">
        <w:rPr>
          <w:rFonts w:ascii="Times New Roman" w:hAnsi="Times New Roman" w:cs="Times New Roman"/>
          <w:sz w:val="24"/>
          <w:szCs w:val="24"/>
        </w:rPr>
        <w:t>/g ve 1</w:t>
      </w:r>
      <w:r w:rsidR="00872260" w:rsidRPr="006A316D">
        <w:rPr>
          <w:rFonts w:ascii="Times New Roman" w:hAnsi="Times New Roman" w:cs="Times New Roman"/>
          <w:sz w:val="24"/>
          <w:szCs w:val="24"/>
        </w:rPr>
        <w:t>,</w:t>
      </w:r>
      <w:r w:rsidRPr="006A316D">
        <w:rPr>
          <w:rFonts w:ascii="Times New Roman" w:hAnsi="Times New Roman" w:cs="Times New Roman"/>
          <w:sz w:val="24"/>
          <w:szCs w:val="24"/>
        </w:rPr>
        <w:t xml:space="preserve">8 </w:t>
      </w:r>
      <w:r w:rsidR="001D7449" w:rsidRPr="006A316D">
        <w:rPr>
          <w:rFonts w:ascii="Times New Roman" w:hAnsi="Times New Roman" w:cs="Times New Roman"/>
          <w:sz w:val="24"/>
          <w:szCs w:val="24"/>
        </w:rPr>
        <w:t>mcg</w:t>
      </w:r>
      <w:r w:rsidRPr="006A316D">
        <w:rPr>
          <w:rFonts w:ascii="Times New Roman" w:hAnsi="Times New Roman" w:cs="Times New Roman"/>
          <w:sz w:val="24"/>
          <w:szCs w:val="24"/>
        </w:rPr>
        <w:t>/g olmuştur ve tedaviden 6 ay</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sonra tırnak örneklerinde flukonazol hala ölçülebilir değerlerdeydi.</w:t>
      </w:r>
    </w:p>
    <w:p w14:paraId="70671BCB" w14:textId="77777777" w:rsidR="00ED2805" w:rsidRPr="006A316D" w:rsidRDefault="00ED2805" w:rsidP="009C388B">
      <w:pPr>
        <w:spacing w:after="0" w:line="240" w:lineRule="auto"/>
        <w:ind w:left="284"/>
        <w:jc w:val="both"/>
        <w:rPr>
          <w:rFonts w:ascii="Times New Roman" w:hAnsi="Times New Roman" w:cs="Times New Roman"/>
          <w:sz w:val="24"/>
          <w:szCs w:val="24"/>
        </w:rPr>
      </w:pPr>
    </w:p>
    <w:p w14:paraId="3EA22837" w14:textId="77777777" w:rsidR="00ED2805" w:rsidRPr="006A316D" w:rsidRDefault="00ED2805" w:rsidP="00BD0D73">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Biyotransformasyon:</w:t>
      </w:r>
    </w:p>
    <w:p w14:paraId="6DEDAE5A" w14:textId="77777777" w:rsidR="00ED2805" w:rsidRPr="006A316D" w:rsidRDefault="00ED2805" w:rsidP="009C388B">
      <w:pPr>
        <w:spacing w:after="0" w:line="240" w:lineRule="auto"/>
        <w:ind w:left="284"/>
        <w:jc w:val="both"/>
        <w:rPr>
          <w:rFonts w:ascii="Times New Roman" w:hAnsi="Times New Roman" w:cs="Times New Roman"/>
          <w:sz w:val="24"/>
          <w:szCs w:val="24"/>
        </w:rPr>
      </w:pPr>
    </w:p>
    <w:p w14:paraId="5246B3DF" w14:textId="77777777" w:rsidR="00896D74" w:rsidRPr="006A316D" w:rsidRDefault="00896D74" w:rsidP="009C388B">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çok az metabolize olur. Radyoaktif dozun sadece %11’i değişmiş şekilde idrar ile atılmıştır. Flukonazol CYP2C9 ve CYP3A4 izoenzimlerinin (</w:t>
      </w:r>
      <w:r w:rsidR="001D7449" w:rsidRPr="006A316D">
        <w:rPr>
          <w:rFonts w:ascii="Times New Roman" w:hAnsi="Times New Roman" w:cs="Times New Roman"/>
          <w:sz w:val="24"/>
          <w:szCs w:val="24"/>
        </w:rPr>
        <w:t>B</w:t>
      </w:r>
      <w:r w:rsidRPr="006A316D">
        <w:rPr>
          <w:rFonts w:ascii="Times New Roman" w:hAnsi="Times New Roman" w:cs="Times New Roman"/>
          <w:sz w:val="24"/>
          <w:szCs w:val="24"/>
        </w:rPr>
        <w:t>kz. Bölüm 4.5) orta dereceli bir inhibitörüdür. Flukonazol ayrıca CYP2C19 izoenziminin de inhibitörüdür.</w:t>
      </w:r>
    </w:p>
    <w:p w14:paraId="7D6F518B" w14:textId="77777777" w:rsidR="00896D74" w:rsidRPr="006A316D" w:rsidRDefault="00896D74" w:rsidP="009C388B">
      <w:pPr>
        <w:spacing w:after="0" w:line="240" w:lineRule="auto"/>
        <w:ind w:left="284"/>
        <w:jc w:val="both"/>
        <w:rPr>
          <w:rFonts w:ascii="Times New Roman" w:hAnsi="Times New Roman" w:cs="Times New Roman"/>
          <w:sz w:val="24"/>
          <w:szCs w:val="24"/>
        </w:rPr>
      </w:pPr>
    </w:p>
    <w:p w14:paraId="3298320A" w14:textId="77777777" w:rsidR="00ED2805" w:rsidRPr="006A316D" w:rsidRDefault="00ED2805" w:rsidP="009C388B">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Eliminasyon:</w:t>
      </w:r>
    </w:p>
    <w:p w14:paraId="13C47CE2" w14:textId="77777777" w:rsidR="00ED2805" w:rsidRPr="006A316D" w:rsidRDefault="00E25AEA" w:rsidP="009C388B">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Flukonazolün plazma eliminasyon yarı ömrü yaklaşık 30 saattir. </w:t>
      </w:r>
      <w:r w:rsidR="00ED2805" w:rsidRPr="006A316D">
        <w:rPr>
          <w:rFonts w:ascii="Times New Roman" w:hAnsi="Times New Roman" w:cs="Times New Roman"/>
          <w:sz w:val="24"/>
          <w:szCs w:val="24"/>
        </w:rPr>
        <w:t>Başlıca atılım yolu böbrek olup,</w:t>
      </w:r>
      <w:r w:rsidR="006A2E25" w:rsidRPr="006A316D">
        <w:rPr>
          <w:rFonts w:ascii="Times New Roman" w:hAnsi="Times New Roman" w:cs="Times New Roman"/>
          <w:sz w:val="24"/>
          <w:szCs w:val="24"/>
        </w:rPr>
        <w:t xml:space="preserve"> uygulanan dozun yaklaşık %80’</w:t>
      </w:r>
      <w:r w:rsidR="00ED2805" w:rsidRPr="006A316D">
        <w:rPr>
          <w:rFonts w:ascii="Times New Roman" w:hAnsi="Times New Roman" w:cs="Times New Roman"/>
          <w:sz w:val="24"/>
          <w:szCs w:val="24"/>
        </w:rPr>
        <w:t>i idrarda değişmemiş ilaç</w:t>
      </w:r>
      <w:r w:rsidR="00B96050" w:rsidRPr="006A316D">
        <w:rPr>
          <w:rFonts w:ascii="Times New Roman" w:hAnsi="Times New Roman" w:cs="Times New Roman"/>
          <w:sz w:val="24"/>
          <w:szCs w:val="24"/>
        </w:rPr>
        <w:t xml:space="preserve"> </w:t>
      </w:r>
      <w:r w:rsidR="00ED2805" w:rsidRPr="006A316D">
        <w:rPr>
          <w:rFonts w:ascii="Times New Roman" w:hAnsi="Times New Roman" w:cs="Times New Roman"/>
          <w:sz w:val="24"/>
          <w:szCs w:val="24"/>
        </w:rPr>
        <w:t xml:space="preserve">halinde bulunur. </w:t>
      </w:r>
      <w:r w:rsidR="00ED2805" w:rsidRPr="006A316D">
        <w:rPr>
          <w:rFonts w:ascii="Times New Roman" w:hAnsi="Times New Roman" w:cs="Times New Roman"/>
          <w:sz w:val="24"/>
          <w:szCs w:val="24"/>
        </w:rPr>
        <w:lastRenderedPageBreak/>
        <w:t>Flukonazol kl</w:t>
      </w:r>
      <w:r w:rsidR="001D7449" w:rsidRPr="006A316D">
        <w:rPr>
          <w:rFonts w:ascii="Times New Roman" w:hAnsi="Times New Roman" w:cs="Times New Roman"/>
          <w:sz w:val="24"/>
          <w:szCs w:val="24"/>
        </w:rPr>
        <w:t>e</w:t>
      </w:r>
      <w:r w:rsidR="00ED2805" w:rsidRPr="006A316D">
        <w:rPr>
          <w:rFonts w:ascii="Times New Roman" w:hAnsi="Times New Roman" w:cs="Times New Roman"/>
          <w:sz w:val="24"/>
          <w:szCs w:val="24"/>
        </w:rPr>
        <w:t>rensi, kreatinin kl</w:t>
      </w:r>
      <w:r w:rsidR="001D7449" w:rsidRPr="006A316D">
        <w:rPr>
          <w:rFonts w:ascii="Times New Roman" w:hAnsi="Times New Roman" w:cs="Times New Roman"/>
          <w:sz w:val="24"/>
          <w:szCs w:val="24"/>
        </w:rPr>
        <w:t>e</w:t>
      </w:r>
      <w:r w:rsidR="00ED2805" w:rsidRPr="006A316D">
        <w:rPr>
          <w:rFonts w:ascii="Times New Roman" w:hAnsi="Times New Roman" w:cs="Times New Roman"/>
          <w:sz w:val="24"/>
          <w:szCs w:val="24"/>
        </w:rPr>
        <w:t>rensi ile orantılıdır.</w:t>
      </w:r>
      <w:r w:rsidRPr="006A316D">
        <w:rPr>
          <w:rFonts w:ascii="Times New Roman" w:hAnsi="Times New Roman" w:cs="Times New Roman"/>
          <w:sz w:val="24"/>
          <w:szCs w:val="24"/>
        </w:rPr>
        <w:t xml:space="preserve"> Sirkülasyonda olan metabolitlere ait bir kanıt saptanmamıştır.</w:t>
      </w:r>
    </w:p>
    <w:p w14:paraId="73F79602" w14:textId="77777777" w:rsidR="00B96050" w:rsidRPr="006A316D" w:rsidRDefault="00B96050" w:rsidP="009C388B">
      <w:pPr>
        <w:spacing w:after="0" w:line="240" w:lineRule="auto"/>
        <w:ind w:left="284"/>
        <w:jc w:val="both"/>
        <w:rPr>
          <w:rFonts w:ascii="Times New Roman" w:hAnsi="Times New Roman" w:cs="Times New Roman"/>
          <w:sz w:val="24"/>
          <w:szCs w:val="24"/>
        </w:rPr>
      </w:pPr>
    </w:p>
    <w:p w14:paraId="7C42B57F" w14:textId="77777777" w:rsidR="00ED2805" w:rsidRPr="006A316D" w:rsidRDefault="00ED2805" w:rsidP="00BD0D7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Uzun plazma eliminasyon yarı ömrü, tek bir dozla vajinal kandidiyaz</w:t>
      </w:r>
      <w:r w:rsidR="00E25AEA" w:rsidRPr="006A316D">
        <w:rPr>
          <w:rFonts w:ascii="Times New Roman" w:hAnsi="Times New Roman" w:cs="Times New Roman"/>
          <w:sz w:val="24"/>
          <w:szCs w:val="24"/>
        </w:rPr>
        <w:t>is</w:t>
      </w:r>
      <w:r w:rsidRPr="006A316D">
        <w:rPr>
          <w:rFonts w:ascii="Times New Roman" w:hAnsi="Times New Roman" w:cs="Times New Roman"/>
          <w:sz w:val="24"/>
          <w:szCs w:val="24"/>
        </w:rPr>
        <w:t xml:space="preserve"> tedavisinin ve endike</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olduğu diğer bütün fungal enfeksiyonların günde tek doz ve haftada tek dozlarla tedavilerinin</w:t>
      </w:r>
      <w:r w:rsidR="00B96050" w:rsidRPr="006A316D">
        <w:rPr>
          <w:rFonts w:ascii="Times New Roman" w:hAnsi="Times New Roman" w:cs="Times New Roman"/>
          <w:sz w:val="24"/>
          <w:szCs w:val="24"/>
        </w:rPr>
        <w:t xml:space="preserve"> </w:t>
      </w:r>
      <w:r w:rsidRPr="006A316D">
        <w:rPr>
          <w:rFonts w:ascii="Times New Roman" w:hAnsi="Times New Roman" w:cs="Times New Roman"/>
          <w:sz w:val="24"/>
          <w:szCs w:val="24"/>
        </w:rPr>
        <w:t>esasını teşkil eder.</w:t>
      </w:r>
    </w:p>
    <w:p w14:paraId="2639C332" w14:textId="77777777" w:rsidR="00ED2805" w:rsidRPr="006A316D" w:rsidRDefault="00ED2805" w:rsidP="009C388B">
      <w:pPr>
        <w:spacing w:after="0" w:line="240" w:lineRule="auto"/>
        <w:ind w:left="284"/>
        <w:jc w:val="both"/>
        <w:rPr>
          <w:rFonts w:ascii="Times New Roman" w:hAnsi="Times New Roman" w:cs="Times New Roman"/>
          <w:sz w:val="24"/>
          <w:szCs w:val="24"/>
        </w:rPr>
      </w:pPr>
    </w:p>
    <w:p w14:paraId="11022AF6" w14:textId="77777777" w:rsidR="00ED2805" w:rsidRPr="006A316D" w:rsidRDefault="00ED2805" w:rsidP="009C388B">
      <w:pPr>
        <w:spacing w:after="6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Doğrusallık/Doğrusal olmayan durum:</w:t>
      </w:r>
    </w:p>
    <w:p w14:paraId="1B36D205" w14:textId="77777777" w:rsidR="00ED2805" w:rsidRPr="006A316D" w:rsidRDefault="00ED2805" w:rsidP="009C388B">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Mevcut değil.</w:t>
      </w:r>
    </w:p>
    <w:p w14:paraId="2123DB91" w14:textId="77777777" w:rsidR="00ED2805" w:rsidRPr="006A316D" w:rsidRDefault="00ED2805" w:rsidP="00FC1F76">
      <w:pPr>
        <w:spacing w:after="0" w:line="240" w:lineRule="auto"/>
        <w:ind w:left="284"/>
        <w:jc w:val="both"/>
        <w:rPr>
          <w:rFonts w:ascii="Times New Roman" w:hAnsi="Times New Roman" w:cs="Times New Roman"/>
          <w:sz w:val="24"/>
          <w:szCs w:val="24"/>
        </w:rPr>
      </w:pPr>
    </w:p>
    <w:p w14:paraId="77AB03AB" w14:textId="77777777" w:rsidR="00ED2805" w:rsidRPr="006A316D" w:rsidRDefault="00ED2805" w:rsidP="00FC1F76">
      <w:pPr>
        <w:spacing w:after="0" w:line="240" w:lineRule="auto"/>
        <w:ind w:left="284"/>
        <w:jc w:val="both"/>
        <w:rPr>
          <w:rFonts w:ascii="Times New Roman" w:hAnsi="Times New Roman" w:cs="Times New Roman"/>
          <w:b/>
          <w:bCs/>
          <w:sz w:val="24"/>
          <w:szCs w:val="24"/>
        </w:rPr>
      </w:pPr>
      <w:r w:rsidRPr="006A316D">
        <w:rPr>
          <w:rFonts w:ascii="Times New Roman" w:hAnsi="Times New Roman" w:cs="Times New Roman"/>
          <w:b/>
          <w:bCs/>
          <w:sz w:val="24"/>
          <w:szCs w:val="24"/>
        </w:rPr>
        <w:t>Hastalardaki karakteristik özellikler</w:t>
      </w:r>
    </w:p>
    <w:p w14:paraId="76B8A796" w14:textId="77777777" w:rsidR="00B458FD" w:rsidRPr="006A316D" w:rsidRDefault="00B458FD" w:rsidP="00FC1F76">
      <w:pPr>
        <w:spacing w:after="0" w:line="240" w:lineRule="auto"/>
        <w:ind w:left="284"/>
        <w:jc w:val="both"/>
        <w:rPr>
          <w:rFonts w:ascii="Times New Roman" w:hAnsi="Times New Roman" w:cs="Times New Roman"/>
          <w:sz w:val="24"/>
          <w:szCs w:val="24"/>
          <w:u w:val="single"/>
        </w:rPr>
      </w:pPr>
    </w:p>
    <w:p w14:paraId="2502180F" w14:textId="77777777" w:rsidR="00E25AEA" w:rsidRPr="006A316D" w:rsidRDefault="00E25AEA" w:rsidP="00FC1F76">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Böbrek yetmezliği olan hastalarda farmakokinetik</w:t>
      </w:r>
    </w:p>
    <w:p w14:paraId="5C61C6F2" w14:textId="77777777" w:rsidR="00E25AEA" w:rsidRPr="006A316D" w:rsidRDefault="00E25AEA" w:rsidP="00FC1F76">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Ciddi böbrek yetmezliği (GFR &lt; 20 m</w:t>
      </w:r>
      <w:r w:rsidR="001D7449" w:rsidRPr="006A316D">
        <w:rPr>
          <w:rFonts w:ascii="Times New Roman" w:hAnsi="Times New Roman" w:cs="Times New Roman"/>
          <w:sz w:val="24"/>
          <w:szCs w:val="24"/>
        </w:rPr>
        <w:t>l</w:t>
      </w:r>
      <w:r w:rsidRPr="006A316D">
        <w:rPr>
          <w:rFonts w:ascii="Times New Roman" w:hAnsi="Times New Roman" w:cs="Times New Roman"/>
          <w:sz w:val="24"/>
          <w:szCs w:val="24"/>
        </w:rPr>
        <w:t>/dak) olan hastalarda yarılanma ömrü 30 saatten 98 saate çıkmıştır. Sonuç olarak dozun azaltılması gereklidir. Flukonazol hemodiyaliz ile ve daha az miktarda peritoneal diyaliz ile vücuttan atılır. 3 saatlik bir hemodiyaliz seansı sonrası flukonazolün yaklaşık %50’si kandan elimine edilmiş olur.</w:t>
      </w:r>
    </w:p>
    <w:p w14:paraId="2E1A2767" w14:textId="77777777" w:rsidR="00FC1F76" w:rsidRPr="006A316D" w:rsidRDefault="00FC1F76" w:rsidP="00FC1F76">
      <w:pPr>
        <w:spacing w:after="0" w:line="240" w:lineRule="auto"/>
        <w:ind w:left="284"/>
        <w:jc w:val="both"/>
        <w:rPr>
          <w:rFonts w:ascii="Times New Roman" w:hAnsi="Times New Roman" w:cs="Times New Roman"/>
          <w:sz w:val="24"/>
          <w:szCs w:val="24"/>
        </w:rPr>
      </w:pPr>
    </w:p>
    <w:p w14:paraId="4072E610" w14:textId="77777777" w:rsidR="00B458FD" w:rsidRPr="006A316D" w:rsidRDefault="00B458FD" w:rsidP="00FC1F76">
      <w:pPr>
        <w:spacing w:after="0" w:line="240" w:lineRule="auto"/>
        <w:ind w:left="284"/>
        <w:jc w:val="both"/>
        <w:rPr>
          <w:rFonts w:ascii="Times New Roman" w:hAnsi="Times New Roman" w:cs="Times New Roman"/>
          <w:sz w:val="24"/>
          <w:szCs w:val="24"/>
        </w:rPr>
      </w:pPr>
    </w:p>
    <w:p w14:paraId="12F0D932" w14:textId="77777777" w:rsidR="00E25AEA" w:rsidRPr="006A316D" w:rsidRDefault="00E25AEA" w:rsidP="00FC1F76">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Laktasyon döneminde farmakokinetik:</w:t>
      </w:r>
    </w:p>
    <w:p w14:paraId="3CC8FD6D" w14:textId="77777777" w:rsidR="00E25AEA" w:rsidRPr="006A316D" w:rsidRDefault="00E25AEA" w:rsidP="00FC1F76">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Dönemsel ya da düzenli olarak emziren 10 kadında yapılan bir farmakokinetik çalışmada, 150 mg flukonazol alımınından 48 saat sonra plazmadaki ve anne sütündeki flukonazol konsantrasyonları değerlendirilmiştir. Flukonazol anne sütünde tespit edilmiş olup, ortalama konsantrasyonu maternal plazmanın yaklaşık %98</w:t>
      </w:r>
      <w:r w:rsidR="00FC1F76" w:rsidRPr="006A316D">
        <w:rPr>
          <w:rFonts w:ascii="Times New Roman" w:hAnsi="Times New Roman" w:cs="Times New Roman"/>
          <w:sz w:val="24"/>
          <w:szCs w:val="24"/>
        </w:rPr>
        <w:t>’</w:t>
      </w:r>
      <w:r w:rsidRPr="006A316D">
        <w:rPr>
          <w:rFonts w:ascii="Times New Roman" w:hAnsi="Times New Roman" w:cs="Times New Roman"/>
          <w:sz w:val="24"/>
          <w:szCs w:val="24"/>
        </w:rPr>
        <w:t>idir. Ortalama en yüksek anne sütü konsantrasyonu, doz sonrası 5,2 saatte 2,61 mg/</w:t>
      </w:r>
      <w:r w:rsidR="00872260" w:rsidRPr="006A316D">
        <w:rPr>
          <w:rFonts w:ascii="Times New Roman" w:hAnsi="Times New Roman" w:cs="Times New Roman"/>
          <w:sz w:val="24"/>
          <w:szCs w:val="24"/>
        </w:rPr>
        <w:t>l</w:t>
      </w:r>
      <w:r w:rsidR="00FC1F76" w:rsidRPr="006A316D">
        <w:rPr>
          <w:rFonts w:ascii="Times New Roman" w:hAnsi="Times New Roman" w:cs="Times New Roman"/>
          <w:sz w:val="24"/>
          <w:szCs w:val="24"/>
        </w:rPr>
        <w:t>’</w:t>
      </w:r>
      <w:r w:rsidRPr="006A316D">
        <w:rPr>
          <w:rFonts w:ascii="Times New Roman" w:hAnsi="Times New Roman" w:cs="Times New Roman"/>
          <w:sz w:val="24"/>
          <w:szCs w:val="24"/>
        </w:rPr>
        <w:t>dir. Bebeğin anne sütünden (ortalama süt</w:t>
      </w:r>
      <w:r w:rsidR="00FC1F76" w:rsidRPr="006A316D">
        <w:rPr>
          <w:rFonts w:ascii="Times New Roman" w:hAnsi="Times New Roman" w:cs="Times New Roman"/>
          <w:sz w:val="24"/>
          <w:szCs w:val="24"/>
        </w:rPr>
        <w:t xml:space="preserve"> </w:t>
      </w:r>
      <w:r w:rsidRPr="006A316D">
        <w:rPr>
          <w:rFonts w:ascii="Times New Roman" w:hAnsi="Times New Roman" w:cs="Times New Roman"/>
          <w:sz w:val="24"/>
          <w:szCs w:val="24"/>
        </w:rPr>
        <w:t>tüketimi 150 m</w:t>
      </w:r>
      <w:r w:rsidR="001D7449" w:rsidRPr="006A316D">
        <w:rPr>
          <w:rFonts w:ascii="Times New Roman" w:hAnsi="Times New Roman" w:cs="Times New Roman"/>
          <w:sz w:val="24"/>
          <w:szCs w:val="24"/>
        </w:rPr>
        <w:t>l</w:t>
      </w:r>
      <w:r w:rsidRPr="006A316D">
        <w:rPr>
          <w:rFonts w:ascii="Times New Roman" w:hAnsi="Times New Roman" w:cs="Times New Roman"/>
          <w:sz w:val="24"/>
          <w:szCs w:val="24"/>
        </w:rPr>
        <w:t>/kg/gün olduğu varsayılarak), alacağı günlük tahmini flukonazol dozu ortalama en yoğun süt konsantrasyonuna dayanılarak 0,39 mg/kg/gün</w:t>
      </w:r>
      <w:r w:rsidR="00FC1F76" w:rsidRPr="006A316D">
        <w:rPr>
          <w:rFonts w:ascii="Times New Roman" w:hAnsi="Times New Roman" w:cs="Times New Roman"/>
          <w:sz w:val="24"/>
          <w:szCs w:val="24"/>
        </w:rPr>
        <w:t>’</w:t>
      </w:r>
      <w:r w:rsidRPr="006A316D">
        <w:rPr>
          <w:rFonts w:ascii="Times New Roman" w:hAnsi="Times New Roman" w:cs="Times New Roman"/>
          <w:sz w:val="24"/>
          <w:szCs w:val="24"/>
        </w:rPr>
        <w:t>dür. Bu oran, önerilen yenidoğan (&lt;2 haftalık) dozunun yaklaşık %40</w:t>
      </w:r>
      <w:r w:rsidR="00FC1F76" w:rsidRPr="006A316D">
        <w:rPr>
          <w:rFonts w:ascii="Times New Roman" w:hAnsi="Times New Roman" w:cs="Times New Roman"/>
          <w:sz w:val="24"/>
          <w:szCs w:val="24"/>
        </w:rPr>
        <w:t>’</w:t>
      </w:r>
      <w:r w:rsidRPr="006A316D">
        <w:rPr>
          <w:rFonts w:ascii="Times New Roman" w:hAnsi="Times New Roman" w:cs="Times New Roman"/>
          <w:sz w:val="24"/>
          <w:szCs w:val="24"/>
        </w:rPr>
        <w:t>ı ya da mukozal kandidiyaz için önerilen bebek dozunun %13</w:t>
      </w:r>
      <w:r w:rsidR="00FC1F76" w:rsidRPr="006A316D">
        <w:rPr>
          <w:rFonts w:ascii="Times New Roman" w:hAnsi="Times New Roman" w:cs="Times New Roman"/>
          <w:sz w:val="24"/>
          <w:szCs w:val="24"/>
        </w:rPr>
        <w:t>’</w:t>
      </w:r>
      <w:r w:rsidRPr="006A316D">
        <w:rPr>
          <w:rFonts w:ascii="Times New Roman" w:hAnsi="Times New Roman" w:cs="Times New Roman"/>
          <w:sz w:val="24"/>
          <w:szCs w:val="24"/>
        </w:rPr>
        <w:t>üdür.</w:t>
      </w:r>
    </w:p>
    <w:p w14:paraId="05AF0329" w14:textId="77777777" w:rsidR="00FC1F76" w:rsidRPr="006A316D" w:rsidRDefault="00FC1F76" w:rsidP="00FC1F76">
      <w:pPr>
        <w:spacing w:after="0" w:line="240" w:lineRule="auto"/>
        <w:ind w:left="284"/>
        <w:jc w:val="both"/>
        <w:rPr>
          <w:rFonts w:ascii="Times New Roman" w:hAnsi="Times New Roman" w:cs="Times New Roman"/>
          <w:sz w:val="24"/>
          <w:szCs w:val="24"/>
          <w:u w:val="single"/>
        </w:rPr>
      </w:pPr>
    </w:p>
    <w:p w14:paraId="2618F717" w14:textId="77777777" w:rsidR="0026520E" w:rsidRPr="006A316D" w:rsidRDefault="00ED2805" w:rsidP="00B458FD">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Çocuklarda farmakokinetik:</w:t>
      </w:r>
    </w:p>
    <w:p w14:paraId="26CBF3DD" w14:textId="77777777" w:rsidR="0026520E" w:rsidRPr="006A316D" w:rsidRDefault="0026520E" w:rsidP="0026520E">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İki tane tek-dozlu çalışma, 2 tane çoklu-doz çalışması ve prematür</w:t>
      </w:r>
      <w:r w:rsidR="009E5A98" w:rsidRPr="006A316D">
        <w:rPr>
          <w:rFonts w:ascii="Times New Roman" w:hAnsi="Times New Roman" w:cs="Times New Roman"/>
          <w:sz w:val="24"/>
          <w:szCs w:val="24"/>
        </w:rPr>
        <w:t>e</w:t>
      </w:r>
      <w:r w:rsidRPr="006A316D">
        <w:rPr>
          <w:rFonts w:ascii="Times New Roman" w:hAnsi="Times New Roman" w:cs="Times New Roman"/>
          <w:sz w:val="24"/>
          <w:szCs w:val="24"/>
        </w:rPr>
        <w:t xml:space="preserve"> yenidoğanlarda yapılan 1 çalışmadan oluşan 5 çalışmada yer alan 113 pediatri hastasının farmakokinetik verileri değerlendirilmiştir.</w:t>
      </w:r>
    </w:p>
    <w:p w14:paraId="79573C33" w14:textId="77777777" w:rsidR="0026520E" w:rsidRPr="006A316D" w:rsidRDefault="0026520E" w:rsidP="0026520E">
      <w:pPr>
        <w:spacing w:after="0" w:line="240" w:lineRule="auto"/>
        <w:ind w:left="284"/>
        <w:jc w:val="both"/>
        <w:rPr>
          <w:rFonts w:ascii="Times New Roman" w:hAnsi="Times New Roman" w:cs="Times New Roman"/>
          <w:sz w:val="24"/>
          <w:szCs w:val="24"/>
        </w:rPr>
      </w:pPr>
    </w:p>
    <w:p w14:paraId="22AD6558" w14:textId="77777777" w:rsidR="0026520E" w:rsidRPr="006A316D" w:rsidRDefault="0026520E" w:rsidP="0026520E">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Bir çalışmadan elde edilen veriler çalışma boyunca formülasyon yolağında yapılan değişiklikler nedeniyle yorumlanamamıştır. İnsani amaçlı ilaca erken erişim programı çalışmasından ilave veriler elde edilmiştir.</w:t>
      </w:r>
    </w:p>
    <w:p w14:paraId="71159B56" w14:textId="77777777" w:rsidR="0026520E" w:rsidRPr="006A316D" w:rsidRDefault="0026520E" w:rsidP="0026520E">
      <w:pPr>
        <w:spacing w:after="0" w:line="240" w:lineRule="auto"/>
        <w:ind w:left="284"/>
        <w:jc w:val="both"/>
        <w:rPr>
          <w:rFonts w:ascii="Times New Roman" w:hAnsi="Times New Roman" w:cs="Times New Roman"/>
          <w:sz w:val="24"/>
          <w:szCs w:val="24"/>
        </w:rPr>
      </w:pPr>
    </w:p>
    <w:p w14:paraId="64F51F30" w14:textId="77777777" w:rsidR="0026520E" w:rsidRPr="006A316D" w:rsidRDefault="0026520E" w:rsidP="0026520E">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9 aylık ile 15 yaş arası çocuklara 2-8 mg/kg flukonazol uygulanmasının ardından 1 mg/kg doz birim başına 38</w:t>
      </w:r>
      <w:r w:rsidR="001D7449" w:rsidRPr="006A316D">
        <w:rPr>
          <w:rFonts w:ascii="Times New Roman" w:hAnsi="Times New Roman" w:cs="Times New Roman"/>
          <w:sz w:val="24"/>
          <w:szCs w:val="24"/>
        </w:rPr>
        <w:t>mc</w:t>
      </w:r>
      <w:r w:rsidRPr="006A316D">
        <w:rPr>
          <w:rFonts w:ascii="Times New Roman" w:hAnsi="Times New Roman" w:cs="Times New Roman"/>
          <w:sz w:val="24"/>
          <w:szCs w:val="24"/>
        </w:rPr>
        <w:t>g.saat/mL civarında bir EAA değeri saptanmıştır. Ortalama flukonazol plazma eliminasyon yarı ömrü 15 ila 18 saat arasında değişmiştir, dağılım hacmi çoklu doz sonrasında yaklaşık 880 mL/kg bulunmuştur. Tek doz sonrasında yaklaşık 24 saatlik daha yüksek bir flukanozol plazma eliminasyon yarı ömrü saptanmıştır. Bu süre 11 gün ila 11 aylık arası çocuklarda 3 mg/kg tek bir IV uygulama sonrasındaki flukonazol plazma eliminasyon yarı ömrü ile karşılaştırılabilirdir. Bu yaş grubundaki dağılım hacmi 950 mL/kg civarında bulunmuştur.</w:t>
      </w:r>
    </w:p>
    <w:p w14:paraId="2ABA5279" w14:textId="77777777" w:rsidR="0026520E" w:rsidRPr="006A316D" w:rsidRDefault="0026520E" w:rsidP="0026520E">
      <w:pPr>
        <w:spacing w:after="0" w:line="240" w:lineRule="auto"/>
        <w:ind w:left="284"/>
        <w:jc w:val="both"/>
        <w:rPr>
          <w:rFonts w:ascii="Times New Roman" w:hAnsi="Times New Roman" w:cs="Times New Roman"/>
          <w:sz w:val="24"/>
          <w:szCs w:val="24"/>
        </w:rPr>
      </w:pPr>
    </w:p>
    <w:p w14:paraId="48FAC439" w14:textId="77777777" w:rsidR="009C388B" w:rsidRPr="006A316D" w:rsidRDefault="0026520E" w:rsidP="0026520E">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Yenidoğanlarda flukonazol ile deneyim prematür</w:t>
      </w:r>
      <w:r w:rsidR="009E5A98" w:rsidRPr="006A316D">
        <w:rPr>
          <w:rFonts w:ascii="Times New Roman" w:hAnsi="Times New Roman" w:cs="Times New Roman"/>
          <w:sz w:val="24"/>
          <w:szCs w:val="24"/>
        </w:rPr>
        <w:t>e</w:t>
      </w:r>
      <w:r w:rsidRPr="006A316D">
        <w:rPr>
          <w:rFonts w:ascii="Times New Roman" w:hAnsi="Times New Roman" w:cs="Times New Roman"/>
          <w:sz w:val="24"/>
          <w:szCs w:val="24"/>
        </w:rPr>
        <w:t xml:space="preserve"> yenidoğanlarla yapılan farmakokinetik çalışmalarıyla sınırlıdır. Ortalama gebelik süresi 28 hafta civarında olan 12 pre-term </w:t>
      </w:r>
      <w:r w:rsidRPr="006A316D">
        <w:rPr>
          <w:rFonts w:ascii="Times New Roman" w:hAnsi="Times New Roman" w:cs="Times New Roman"/>
          <w:sz w:val="24"/>
          <w:szCs w:val="24"/>
        </w:rPr>
        <w:lastRenderedPageBreak/>
        <w:t>yenidoğanda ilk dozda yaş ortalaması 24 saat (aralık 9-36 saat), ortalama doğum kilosu 0,9 kg’dır (aralık 0,75-1,10 kg). 7 hasta protokolü tamamlamıştır; her 72 saatte bir 6 mg/kg intravenöz flukonazol infüzyonu maksimum beş gün süreyle yapılmıştır. Ortalama yarı ömür (saat) 1.</w:t>
      </w:r>
      <w:r w:rsidR="00977620" w:rsidRPr="006A316D">
        <w:rPr>
          <w:rFonts w:ascii="Times New Roman" w:hAnsi="Times New Roman" w:cs="Times New Roman"/>
          <w:sz w:val="24"/>
          <w:szCs w:val="24"/>
        </w:rPr>
        <w:t xml:space="preserve"> </w:t>
      </w:r>
      <w:r w:rsidRPr="006A316D">
        <w:rPr>
          <w:rFonts w:ascii="Times New Roman" w:hAnsi="Times New Roman" w:cs="Times New Roman"/>
          <w:sz w:val="24"/>
          <w:szCs w:val="24"/>
        </w:rPr>
        <w:t>günde 74 (aralık 44-185) olup, zamanla azalarak 7. günde ortalama 53 (aralık 30-131) ve 13.</w:t>
      </w:r>
      <w:r w:rsidR="00977620" w:rsidRPr="006A316D">
        <w:rPr>
          <w:rFonts w:ascii="Times New Roman" w:hAnsi="Times New Roman" w:cs="Times New Roman"/>
          <w:sz w:val="24"/>
          <w:szCs w:val="24"/>
        </w:rPr>
        <w:t xml:space="preserve"> </w:t>
      </w:r>
      <w:r w:rsidRPr="006A316D">
        <w:rPr>
          <w:rFonts w:ascii="Times New Roman" w:hAnsi="Times New Roman" w:cs="Times New Roman"/>
          <w:sz w:val="24"/>
          <w:szCs w:val="24"/>
        </w:rPr>
        <w:t>günde 47 (aralık 27-68) saate düşmüştür. EAA (</w:t>
      </w:r>
      <w:r w:rsidR="00AF1B87" w:rsidRPr="006A316D">
        <w:rPr>
          <w:rFonts w:ascii="Times New Roman" w:hAnsi="Times New Roman" w:cs="Times New Roman"/>
          <w:sz w:val="24"/>
          <w:szCs w:val="24"/>
        </w:rPr>
        <w:t>mcg</w:t>
      </w:r>
      <w:r w:rsidRPr="006A316D">
        <w:rPr>
          <w:rFonts w:ascii="Times New Roman" w:hAnsi="Times New Roman" w:cs="Times New Roman"/>
          <w:sz w:val="24"/>
          <w:szCs w:val="24"/>
        </w:rPr>
        <w:t>.saat/mL) 1.</w:t>
      </w:r>
      <w:r w:rsidR="00977620" w:rsidRPr="006A316D">
        <w:rPr>
          <w:rFonts w:ascii="Times New Roman" w:hAnsi="Times New Roman" w:cs="Times New Roman"/>
          <w:sz w:val="24"/>
          <w:szCs w:val="24"/>
        </w:rPr>
        <w:t xml:space="preserve"> </w:t>
      </w:r>
      <w:r w:rsidRPr="006A316D">
        <w:rPr>
          <w:rFonts w:ascii="Times New Roman" w:hAnsi="Times New Roman" w:cs="Times New Roman"/>
          <w:sz w:val="24"/>
          <w:szCs w:val="24"/>
        </w:rPr>
        <w:t>günde 271 (aralık 173-385) olup, 7. günde artarak ortalama 490 (aralık 292-734) olmuş ve 13.</w:t>
      </w:r>
      <w:r w:rsidR="00977620" w:rsidRPr="006A316D">
        <w:rPr>
          <w:rFonts w:ascii="Times New Roman" w:hAnsi="Times New Roman" w:cs="Times New Roman"/>
          <w:sz w:val="24"/>
          <w:szCs w:val="24"/>
        </w:rPr>
        <w:t xml:space="preserve"> </w:t>
      </w:r>
      <w:r w:rsidRPr="006A316D">
        <w:rPr>
          <w:rFonts w:ascii="Times New Roman" w:hAnsi="Times New Roman" w:cs="Times New Roman"/>
          <w:sz w:val="24"/>
          <w:szCs w:val="24"/>
        </w:rPr>
        <w:t>günde azalarak ortalama 360 (aralık 167-566) olmuştur. Dağılım hacmi (mL/kg) 1.</w:t>
      </w:r>
      <w:r w:rsidR="00977620" w:rsidRPr="006A316D">
        <w:rPr>
          <w:rFonts w:ascii="Times New Roman" w:hAnsi="Times New Roman" w:cs="Times New Roman"/>
          <w:sz w:val="24"/>
          <w:szCs w:val="24"/>
        </w:rPr>
        <w:t xml:space="preserve"> </w:t>
      </w:r>
      <w:r w:rsidRPr="006A316D">
        <w:rPr>
          <w:rFonts w:ascii="Times New Roman" w:hAnsi="Times New Roman" w:cs="Times New Roman"/>
          <w:sz w:val="24"/>
          <w:szCs w:val="24"/>
        </w:rPr>
        <w:t>günde 1</w:t>
      </w:r>
      <w:r w:rsidR="009E5A98" w:rsidRPr="006A316D">
        <w:rPr>
          <w:rFonts w:ascii="Times New Roman" w:hAnsi="Times New Roman" w:cs="Times New Roman"/>
          <w:sz w:val="24"/>
          <w:szCs w:val="24"/>
        </w:rPr>
        <w:t>.</w:t>
      </w:r>
      <w:r w:rsidRPr="006A316D">
        <w:rPr>
          <w:rFonts w:ascii="Times New Roman" w:hAnsi="Times New Roman" w:cs="Times New Roman"/>
          <w:sz w:val="24"/>
          <w:szCs w:val="24"/>
        </w:rPr>
        <w:t>183 (aralık 1</w:t>
      </w:r>
      <w:r w:rsidR="009E5A98" w:rsidRPr="006A316D">
        <w:rPr>
          <w:rFonts w:ascii="Times New Roman" w:hAnsi="Times New Roman" w:cs="Times New Roman"/>
          <w:sz w:val="24"/>
          <w:szCs w:val="24"/>
        </w:rPr>
        <w:t>.</w:t>
      </w:r>
      <w:r w:rsidRPr="006A316D">
        <w:rPr>
          <w:rFonts w:ascii="Times New Roman" w:hAnsi="Times New Roman" w:cs="Times New Roman"/>
          <w:sz w:val="24"/>
          <w:szCs w:val="24"/>
        </w:rPr>
        <w:t>070-1</w:t>
      </w:r>
      <w:r w:rsidR="009E5A98" w:rsidRPr="006A316D">
        <w:rPr>
          <w:rFonts w:ascii="Times New Roman" w:hAnsi="Times New Roman" w:cs="Times New Roman"/>
          <w:sz w:val="24"/>
          <w:szCs w:val="24"/>
        </w:rPr>
        <w:t>.</w:t>
      </w:r>
      <w:r w:rsidRPr="006A316D">
        <w:rPr>
          <w:rFonts w:ascii="Times New Roman" w:hAnsi="Times New Roman" w:cs="Times New Roman"/>
          <w:sz w:val="24"/>
          <w:szCs w:val="24"/>
        </w:rPr>
        <w:t>470) olup zamanla artarak 7.</w:t>
      </w:r>
      <w:r w:rsidR="00977620" w:rsidRPr="006A316D">
        <w:rPr>
          <w:rFonts w:ascii="Times New Roman" w:hAnsi="Times New Roman" w:cs="Times New Roman"/>
          <w:sz w:val="24"/>
          <w:szCs w:val="24"/>
        </w:rPr>
        <w:t xml:space="preserve"> </w:t>
      </w:r>
      <w:r w:rsidRPr="006A316D">
        <w:rPr>
          <w:rFonts w:ascii="Times New Roman" w:hAnsi="Times New Roman" w:cs="Times New Roman"/>
          <w:sz w:val="24"/>
          <w:szCs w:val="24"/>
        </w:rPr>
        <w:t>günde ortalama 1</w:t>
      </w:r>
      <w:r w:rsidR="009E5A98" w:rsidRPr="006A316D">
        <w:rPr>
          <w:rFonts w:ascii="Times New Roman" w:hAnsi="Times New Roman" w:cs="Times New Roman"/>
          <w:sz w:val="24"/>
          <w:szCs w:val="24"/>
        </w:rPr>
        <w:t>.</w:t>
      </w:r>
      <w:r w:rsidRPr="006A316D">
        <w:rPr>
          <w:rFonts w:ascii="Times New Roman" w:hAnsi="Times New Roman" w:cs="Times New Roman"/>
          <w:sz w:val="24"/>
          <w:szCs w:val="24"/>
        </w:rPr>
        <w:t>184 (aralık 510-2</w:t>
      </w:r>
      <w:r w:rsidR="009E5A98" w:rsidRPr="006A316D">
        <w:rPr>
          <w:rFonts w:ascii="Times New Roman" w:hAnsi="Times New Roman" w:cs="Times New Roman"/>
          <w:sz w:val="24"/>
          <w:szCs w:val="24"/>
        </w:rPr>
        <w:t>.</w:t>
      </w:r>
      <w:r w:rsidRPr="006A316D">
        <w:rPr>
          <w:rFonts w:ascii="Times New Roman" w:hAnsi="Times New Roman" w:cs="Times New Roman"/>
          <w:sz w:val="24"/>
          <w:szCs w:val="24"/>
        </w:rPr>
        <w:t>130) ve 13.</w:t>
      </w:r>
      <w:r w:rsidR="00977620" w:rsidRPr="006A316D">
        <w:rPr>
          <w:rFonts w:ascii="Times New Roman" w:hAnsi="Times New Roman" w:cs="Times New Roman"/>
          <w:sz w:val="24"/>
          <w:szCs w:val="24"/>
        </w:rPr>
        <w:t xml:space="preserve"> </w:t>
      </w:r>
      <w:r w:rsidRPr="006A316D">
        <w:rPr>
          <w:rFonts w:ascii="Times New Roman" w:hAnsi="Times New Roman" w:cs="Times New Roman"/>
          <w:sz w:val="24"/>
          <w:szCs w:val="24"/>
        </w:rPr>
        <w:t>günde ortalama 1328 (aralık 1</w:t>
      </w:r>
      <w:r w:rsidR="009E5A98" w:rsidRPr="006A316D">
        <w:rPr>
          <w:rFonts w:ascii="Times New Roman" w:hAnsi="Times New Roman" w:cs="Times New Roman"/>
          <w:sz w:val="24"/>
          <w:szCs w:val="24"/>
        </w:rPr>
        <w:t>.</w:t>
      </w:r>
      <w:r w:rsidRPr="006A316D">
        <w:rPr>
          <w:rFonts w:ascii="Times New Roman" w:hAnsi="Times New Roman" w:cs="Times New Roman"/>
          <w:sz w:val="24"/>
          <w:szCs w:val="24"/>
        </w:rPr>
        <w:t>040-1</w:t>
      </w:r>
      <w:r w:rsidR="009E5A98" w:rsidRPr="006A316D">
        <w:rPr>
          <w:rFonts w:ascii="Times New Roman" w:hAnsi="Times New Roman" w:cs="Times New Roman"/>
          <w:sz w:val="24"/>
          <w:szCs w:val="24"/>
        </w:rPr>
        <w:t>.</w:t>
      </w:r>
      <w:r w:rsidRPr="006A316D">
        <w:rPr>
          <w:rFonts w:ascii="Times New Roman" w:hAnsi="Times New Roman" w:cs="Times New Roman"/>
          <w:sz w:val="24"/>
          <w:szCs w:val="24"/>
        </w:rPr>
        <w:t>680) olmuştur.</w:t>
      </w:r>
    </w:p>
    <w:p w14:paraId="5746977F" w14:textId="77777777" w:rsidR="00ED2805" w:rsidRPr="006A316D" w:rsidRDefault="00ED2805" w:rsidP="009C388B">
      <w:pPr>
        <w:spacing w:after="0" w:line="240" w:lineRule="auto"/>
        <w:ind w:left="284"/>
        <w:jc w:val="both"/>
        <w:rPr>
          <w:rFonts w:ascii="Times New Roman" w:hAnsi="Times New Roman" w:cs="Times New Roman"/>
          <w:sz w:val="24"/>
          <w:szCs w:val="24"/>
        </w:rPr>
      </w:pPr>
    </w:p>
    <w:p w14:paraId="4A2EC657" w14:textId="77777777" w:rsidR="00ED2805" w:rsidRPr="006A316D" w:rsidRDefault="00ED2805" w:rsidP="009C388B">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Yaşlılarda Farmakokinetik:</w:t>
      </w:r>
    </w:p>
    <w:p w14:paraId="7F7BE453" w14:textId="77777777" w:rsidR="00ED2805" w:rsidRPr="006A316D" w:rsidRDefault="00ED2805" w:rsidP="009C388B">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22 katılımcıyla yürütülen farmakokinetik bir çalışmada, 65 yaş ve üzerindeki hastalarda 50</w:t>
      </w:r>
      <w:r w:rsidR="0073224E" w:rsidRPr="006A316D">
        <w:rPr>
          <w:rFonts w:ascii="Times New Roman" w:hAnsi="Times New Roman" w:cs="Times New Roman"/>
          <w:sz w:val="24"/>
          <w:szCs w:val="24"/>
        </w:rPr>
        <w:t xml:space="preserve"> </w:t>
      </w:r>
      <w:r w:rsidRPr="006A316D">
        <w:rPr>
          <w:rFonts w:ascii="Times New Roman" w:hAnsi="Times New Roman" w:cs="Times New Roman"/>
          <w:sz w:val="24"/>
          <w:szCs w:val="24"/>
        </w:rPr>
        <w:t>mg tek bir oral doz flukonazol uygulanmıştır. Bu hastalardan 10’u aynı zamanda diüretik</w:t>
      </w:r>
      <w:r w:rsidR="0073224E" w:rsidRPr="006A316D">
        <w:rPr>
          <w:rFonts w:ascii="Times New Roman" w:hAnsi="Times New Roman" w:cs="Times New Roman"/>
          <w:sz w:val="24"/>
          <w:szCs w:val="24"/>
        </w:rPr>
        <w:t xml:space="preserve"> </w:t>
      </w:r>
      <w:r w:rsidRPr="006A316D">
        <w:rPr>
          <w:rFonts w:ascii="Times New Roman" w:hAnsi="Times New Roman" w:cs="Times New Roman"/>
          <w:sz w:val="24"/>
          <w:szCs w:val="24"/>
        </w:rPr>
        <w:t>de</w:t>
      </w:r>
      <w:r w:rsidR="0073224E" w:rsidRPr="006A316D">
        <w:rPr>
          <w:rFonts w:ascii="Times New Roman" w:hAnsi="Times New Roman" w:cs="Times New Roman"/>
          <w:sz w:val="24"/>
          <w:szCs w:val="24"/>
        </w:rPr>
        <w:t xml:space="preserve"> </w:t>
      </w:r>
      <w:r w:rsidRPr="006A316D">
        <w:rPr>
          <w:rFonts w:ascii="Times New Roman" w:hAnsi="Times New Roman" w:cs="Times New Roman"/>
          <w:sz w:val="24"/>
          <w:szCs w:val="24"/>
        </w:rPr>
        <w:t>kullanmaktaydı. C</w:t>
      </w:r>
      <w:r w:rsidRPr="006A316D">
        <w:rPr>
          <w:rFonts w:ascii="Times New Roman" w:hAnsi="Times New Roman" w:cs="Times New Roman"/>
          <w:sz w:val="24"/>
          <w:szCs w:val="24"/>
          <w:vertAlign w:val="subscript"/>
        </w:rPr>
        <w:t>maks</w:t>
      </w:r>
      <w:r w:rsidRPr="006A316D">
        <w:rPr>
          <w:rFonts w:ascii="Times New Roman" w:hAnsi="Times New Roman" w:cs="Times New Roman"/>
          <w:sz w:val="24"/>
          <w:szCs w:val="24"/>
        </w:rPr>
        <w:t xml:space="preserve"> değeri 1</w:t>
      </w:r>
      <w:r w:rsidR="00977620" w:rsidRPr="006A316D">
        <w:rPr>
          <w:rFonts w:ascii="Times New Roman" w:hAnsi="Times New Roman" w:cs="Times New Roman"/>
          <w:sz w:val="24"/>
          <w:szCs w:val="24"/>
        </w:rPr>
        <w:t>,</w:t>
      </w:r>
      <w:r w:rsidRPr="006A316D">
        <w:rPr>
          <w:rFonts w:ascii="Times New Roman" w:hAnsi="Times New Roman" w:cs="Times New Roman"/>
          <w:sz w:val="24"/>
          <w:szCs w:val="24"/>
        </w:rPr>
        <w:t xml:space="preserve">54 </w:t>
      </w:r>
      <w:r w:rsidR="00AF1B87" w:rsidRPr="006A316D">
        <w:rPr>
          <w:rFonts w:ascii="Times New Roman" w:hAnsi="Times New Roman" w:cs="Times New Roman"/>
          <w:sz w:val="24"/>
          <w:szCs w:val="24"/>
        </w:rPr>
        <w:t>mc</w:t>
      </w:r>
      <w:r w:rsidR="00872260" w:rsidRPr="006A316D">
        <w:rPr>
          <w:rFonts w:ascii="Times New Roman" w:hAnsi="Times New Roman" w:cs="Times New Roman"/>
          <w:sz w:val="24"/>
          <w:szCs w:val="24"/>
        </w:rPr>
        <w:t xml:space="preserve">g </w:t>
      </w:r>
      <w:r w:rsidRPr="006A316D">
        <w:rPr>
          <w:rFonts w:ascii="Times New Roman" w:hAnsi="Times New Roman" w:cs="Times New Roman"/>
          <w:sz w:val="24"/>
          <w:szCs w:val="24"/>
        </w:rPr>
        <w:t>/m</w:t>
      </w:r>
      <w:r w:rsidR="009E5A98" w:rsidRPr="006A316D">
        <w:rPr>
          <w:rFonts w:ascii="Times New Roman" w:hAnsi="Times New Roman" w:cs="Times New Roman"/>
          <w:sz w:val="24"/>
          <w:szCs w:val="24"/>
        </w:rPr>
        <w:t>l</w:t>
      </w:r>
      <w:r w:rsidRPr="006A316D">
        <w:rPr>
          <w:rFonts w:ascii="Times New Roman" w:hAnsi="Times New Roman" w:cs="Times New Roman"/>
          <w:sz w:val="24"/>
          <w:szCs w:val="24"/>
        </w:rPr>
        <w:t xml:space="preserve"> olup, C</w:t>
      </w:r>
      <w:r w:rsidRPr="006A316D">
        <w:rPr>
          <w:rFonts w:ascii="Times New Roman" w:hAnsi="Times New Roman" w:cs="Times New Roman"/>
          <w:sz w:val="24"/>
          <w:szCs w:val="24"/>
          <w:vertAlign w:val="subscript"/>
        </w:rPr>
        <w:t>maks</w:t>
      </w:r>
      <w:r w:rsidRPr="006A316D">
        <w:rPr>
          <w:rFonts w:ascii="Times New Roman" w:hAnsi="Times New Roman" w:cs="Times New Roman"/>
          <w:sz w:val="24"/>
          <w:szCs w:val="24"/>
        </w:rPr>
        <w:t>’a uygulamadan 1</w:t>
      </w:r>
      <w:r w:rsidR="00977620" w:rsidRPr="006A316D">
        <w:rPr>
          <w:rFonts w:ascii="Times New Roman" w:hAnsi="Times New Roman" w:cs="Times New Roman"/>
          <w:sz w:val="24"/>
          <w:szCs w:val="24"/>
        </w:rPr>
        <w:t>,</w:t>
      </w:r>
      <w:r w:rsidRPr="006A316D">
        <w:rPr>
          <w:rFonts w:ascii="Times New Roman" w:hAnsi="Times New Roman" w:cs="Times New Roman"/>
          <w:sz w:val="24"/>
          <w:szCs w:val="24"/>
        </w:rPr>
        <w:t>3 saat sonra</w:t>
      </w:r>
      <w:r w:rsidR="0073224E" w:rsidRPr="006A316D">
        <w:rPr>
          <w:rFonts w:ascii="Times New Roman" w:hAnsi="Times New Roman" w:cs="Times New Roman"/>
          <w:sz w:val="24"/>
          <w:szCs w:val="24"/>
        </w:rPr>
        <w:t xml:space="preserve"> </w:t>
      </w:r>
      <w:r w:rsidRPr="006A316D">
        <w:rPr>
          <w:rFonts w:ascii="Times New Roman" w:hAnsi="Times New Roman" w:cs="Times New Roman"/>
          <w:sz w:val="24"/>
          <w:szCs w:val="24"/>
        </w:rPr>
        <w:t>erişilmiştir. Ortalama EAA 76</w:t>
      </w:r>
      <w:r w:rsidR="00977620" w:rsidRPr="006A316D">
        <w:rPr>
          <w:rFonts w:ascii="Times New Roman" w:hAnsi="Times New Roman" w:cs="Times New Roman"/>
          <w:sz w:val="24"/>
          <w:szCs w:val="24"/>
        </w:rPr>
        <w:t>,</w:t>
      </w:r>
      <w:r w:rsidRPr="006A316D">
        <w:rPr>
          <w:rFonts w:ascii="Times New Roman" w:hAnsi="Times New Roman" w:cs="Times New Roman"/>
          <w:sz w:val="24"/>
          <w:szCs w:val="24"/>
        </w:rPr>
        <w:t>4 ±20</w:t>
      </w:r>
      <w:r w:rsidR="00977620" w:rsidRPr="006A316D">
        <w:rPr>
          <w:rFonts w:ascii="Times New Roman" w:hAnsi="Times New Roman" w:cs="Times New Roman"/>
          <w:sz w:val="24"/>
          <w:szCs w:val="24"/>
        </w:rPr>
        <w:t>,</w:t>
      </w:r>
      <w:r w:rsidRPr="006A316D">
        <w:rPr>
          <w:rFonts w:ascii="Times New Roman" w:hAnsi="Times New Roman" w:cs="Times New Roman"/>
          <w:sz w:val="24"/>
          <w:szCs w:val="24"/>
        </w:rPr>
        <w:t xml:space="preserve">3 </w:t>
      </w:r>
      <w:r w:rsidR="00AF1B87" w:rsidRPr="006A316D">
        <w:rPr>
          <w:rFonts w:ascii="Times New Roman" w:hAnsi="Times New Roman" w:cs="Times New Roman"/>
          <w:sz w:val="24"/>
          <w:szCs w:val="24"/>
        </w:rPr>
        <w:t>mc</w:t>
      </w:r>
      <w:r w:rsidR="00872260" w:rsidRPr="006A316D">
        <w:rPr>
          <w:rFonts w:ascii="Times New Roman" w:hAnsi="Times New Roman" w:cs="Times New Roman"/>
          <w:sz w:val="24"/>
          <w:szCs w:val="24"/>
        </w:rPr>
        <w:t>g</w:t>
      </w:r>
      <w:r w:rsidRPr="006A316D">
        <w:rPr>
          <w:rFonts w:ascii="Times New Roman" w:hAnsi="Times New Roman" w:cs="Times New Roman"/>
          <w:sz w:val="24"/>
          <w:szCs w:val="24"/>
        </w:rPr>
        <w:t>.saat/m</w:t>
      </w:r>
      <w:r w:rsidR="009E5A98" w:rsidRPr="006A316D">
        <w:rPr>
          <w:rFonts w:ascii="Times New Roman" w:hAnsi="Times New Roman" w:cs="Times New Roman"/>
          <w:sz w:val="24"/>
          <w:szCs w:val="24"/>
        </w:rPr>
        <w:t>l</w:t>
      </w:r>
      <w:r w:rsidRPr="006A316D">
        <w:rPr>
          <w:rFonts w:ascii="Times New Roman" w:hAnsi="Times New Roman" w:cs="Times New Roman"/>
          <w:sz w:val="24"/>
          <w:szCs w:val="24"/>
        </w:rPr>
        <w:t>, ortalama terminal yarı ömrü 46</w:t>
      </w:r>
      <w:r w:rsidR="00977620" w:rsidRPr="006A316D">
        <w:rPr>
          <w:rFonts w:ascii="Times New Roman" w:hAnsi="Times New Roman" w:cs="Times New Roman"/>
          <w:sz w:val="24"/>
          <w:szCs w:val="24"/>
        </w:rPr>
        <w:t>,</w:t>
      </w:r>
      <w:r w:rsidRPr="006A316D">
        <w:rPr>
          <w:rFonts w:ascii="Times New Roman" w:hAnsi="Times New Roman" w:cs="Times New Roman"/>
          <w:sz w:val="24"/>
          <w:szCs w:val="24"/>
        </w:rPr>
        <w:t>2</w:t>
      </w:r>
      <w:r w:rsidR="0073224E" w:rsidRPr="006A316D">
        <w:rPr>
          <w:rFonts w:ascii="Times New Roman" w:hAnsi="Times New Roman" w:cs="Times New Roman"/>
          <w:sz w:val="24"/>
          <w:szCs w:val="24"/>
        </w:rPr>
        <w:t xml:space="preserve"> </w:t>
      </w:r>
      <w:r w:rsidRPr="006A316D">
        <w:rPr>
          <w:rFonts w:ascii="Times New Roman" w:hAnsi="Times New Roman" w:cs="Times New Roman"/>
          <w:sz w:val="24"/>
          <w:szCs w:val="24"/>
        </w:rPr>
        <w:t>saattir. Bu farmakokinetik parametre değerleri, sağlıklı genç erkek gönüllülerde bildirilen</w:t>
      </w:r>
      <w:r w:rsidR="0073224E" w:rsidRPr="006A316D">
        <w:rPr>
          <w:rFonts w:ascii="Times New Roman" w:hAnsi="Times New Roman" w:cs="Times New Roman"/>
          <w:sz w:val="24"/>
          <w:szCs w:val="24"/>
        </w:rPr>
        <w:t xml:space="preserve"> </w:t>
      </w:r>
      <w:r w:rsidRPr="006A316D">
        <w:rPr>
          <w:rFonts w:ascii="Times New Roman" w:hAnsi="Times New Roman" w:cs="Times New Roman"/>
          <w:sz w:val="24"/>
          <w:szCs w:val="24"/>
        </w:rPr>
        <w:t>karşılaştırılabilir değerlerden daha yüksektir. Diüretiklerin birlikte uygulanması EAA ve C</w:t>
      </w:r>
      <w:r w:rsidRPr="006A316D">
        <w:rPr>
          <w:rFonts w:ascii="Times New Roman" w:hAnsi="Times New Roman" w:cs="Times New Roman"/>
          <w:sz w:val="24"/>
          <w:szCs w:val="24"/>
          <w:vertAlign w:val="subscript"/>
        </w:rPr>
        <w:t>maks</w:t>
      </w:r>
      <w:r w:rsidRPr="006A316D">
        <w:rPr>
          <w:rFonts w:ascii="Times New Roman" w:hAnsi="Times New Roman" w:cs="Times New Roman"/>
          <w:sz w:val="24"/>
          <w:szCs w:val="24"/>
        </w:rPr>
        <w:t xml:space="preserve"> değerlerini anlamlı ölçüde değiştirmemiştir. Ayrıca, yaşlılardaki kreatinin kl</w:t>
      </w:r>
      <w:r w:rsidR="009E5A98" w:rsidRPr="006A316D">
        <w:rPr>
          <w:rFonts w:ascii="Times New Roman" w:hAnsi="Times New Roman" w:cs="Times New Roman"/>
          <w:sz w:val="24"/>
          <w:szCs w:val="24"/>
        </w:rPr>
        <w:t>e</w:t>
      </w:r>
      <w:r w:rsidRPr="006A316D">
        <w:rPr>
          <w:rFonts w:ascii="Times New Roman" w:hAnsi="Times New Roman" w:cs="Times New Roman"/>
          <w:sz w:val="24"/>
          <w:szCs w:val="24"/>
        </w:rPr>
        <w:t>rensi (74</w:t>
      </w:r>
      <w:r w:rsidR="0073224E" w:rsidRPr="006A316D">
        <w:rPr>
          <w:rFonts w:ascii="Times New Roman" w:hAnsi="Times New Roman" w:cs="Times New Roman"/>
          <w:sz w:val="24"/>
          <w:szCs w:val="24"/>
        </w:rPr>
        <w:t xml:space="preserve"> </w:t>
      </w:r>
      <w:r w:rsidRPr="006A316D">
        <w:rPr>
          <w:rFonts w:ascii="Times New Roman" w:hAnsi="Times New Roman" w:cs="Times New Roman"/>
          <w:sz w:val="24"/>
          <w:szCs w:val="24"/>
        </w:rPr>
        <w:t>m</w:t>
      </w:r>
      <w:r w:rsidR="00AF1B87" w:rsidRPr="006A316D">
        <w:rPr>
          <w:rFonts w:ascii="Times New Roman" w:hAnsi="Times New Roman" w:cs="Times New Roman"/>
          <w:sz w:val="24"/>
          <w:szCs w:val="24"/>
        </w:rPr>
        <w:t>l</w:t>
      </w:r>
      <w:r w:rsidRPr="006A316D">
        <w:rPr>
          <w:rFonts w:ascii="Times New Roman" w:hAnsi="Times New Roman" w:cs="Times New Roman"/>
          <w:sz w:val="24"/>
          <w:szCs w:val="24"/>
        </w:rPr>
        <w:t>/dak), idrarda bulunan değişmemiş ilaç yüzdesi (0-24 saat, %22) ve tahmin edilen</w:t>
      </w:r>
      <w:r w:rsidR="0073224E" w:rsidRPr="006A316D">
        <w:rPr>
          <w:rFonts w:ascii="Times New Roman" w:hAnsi="Times New Roman" w:cs="Times New Roman"/>
          <w:sz w:val="24"/>
          <w:szCs w:val="24"/>
        </w:rPr>
        <w:t xml:space="preserve"> </w:t>
      </w:r>
      <w:r w:rsidRPr="006A316D">
        <w:rPr>
          <w:rFonts w:ascii="Times New Roman" w:hAnsi="Times New Roman" w:cs="Times New Roman"/>
          <w:sz w:val="24"/>
          <w:szCs w:val="24"/>
        </w:rPr>
        <w:t>flukonazol renal kl</w:t>
      </w:r>
      <w:r w:rsidR="00AF1B87" w:rsidRPr="006A316D">
        <w:rPr>
          <w:rFonts w:ascii="Times New Roman" w:hAnsi="Times New Roman" w:cs="Times New Roman"/>
          <w:sz w:val="24"/>
          <w:szCs w:val="24"/>
        </w:rPr>
        <w:t>e</w:t>
      </w:r>
      <w:r w:rsidRPr="006A316D">
        <w:rPr>
          <w:rFonts w:ascii="Times New Roman" w:hAnsi="Times New Roman" w:cs="Times New Roman"/>
          <w:sz w:val="24"/>
          <w:szCs w:val="24"/>
        </w:rPr>
        <w:t>rensi değerleri (0</w:t>
      </w:r>
      <w:r w:rsidR="00977620" w:rsidRPr="006A316D">
        <w:rPr>
          <w:rFonts w:ascii="Times New Roman" w:hAnsi="Times New Roman" w:cs="Times New Roman"/>
          <w:sz w:val="24"/>
          <w:szCs w:val="24"/>
        </w:rPr>
        <w:t>,</w:t>
      </w:r>
      <w:r w:rsidRPr="006A316D">
        <w:rPr>
          <w:rFonts w:ascii="Times New Roman" w:hAnsi="Times New Roman" w:cs="Times New Roman"/>
          <w:sz w:val="24"/>
          <w:szCs w:val="24"/>
        </w:rPr>
        <w:t>124 m</w:t>
      </w:r>
      <w:r w:rsidR="00AF1B87" w:rsidRPr="006A316D">
        <w:rPr>
          <w:rFonts w:ascii="Times New Roman" w:hAnsi="Times New Roman" w:cs="Times New Roman"/>
          <w:sz w:val="24"/>
          <w:szCs w:val="24"/>
        </w:rPr>
        <w:t>l</w:t>
      </w:r>
      <w:r w:rsidRPr="006A316D">
        <w:rPr>
          <w:rFonts w:ascii="Times New Roman" w:hAnsi="Times New Roman" w:cs="Times New Roman"/>
          <w:sz w:val="24"/>
          <w:szCs w:val="24"/>
        </w:rPr>
        <w:t>/dak/kg) genel olarak genç gönüllülere oranla</w:t>
      </w:r>
      <w:r w:rsidR="0073224E" w:rsidRPr="006A316D">
        <w:rPr>
          <w:rFonts w:ascii="Times New Roman" w:hAnsi="Times New Roman" w:cs="Times New Roman"/>
          <w:sz w:val="24"/>
          <w:szCs w:val="24"/>
        </w:rPr>
        <w:t xml:space="preserve"> </w:t>
      </w:r>
      <w:r w:rsidRPr="006A316D">
        <w:rPr>
          <w:rFonts w:ascii="Times New Roman" w:hAnsi="Times New Roman" w:cs="Times New Roman"/>
          <w:sz w:val="24"/>
          <w:szCs w:val="24"/>
        </w:rPr>
        <w:t>daha düşük bulunmuştur. Bu nedenle yaşlılardaki flukonazol atılımındaki değişiklik, bu</w:t>
      </w:r>
      <w:r w:rsidR="0073224E" w:rsidRPr="006A316D">
        <w:rPr>
          <w:rFonts w:ascii="Times New Roman" w:hAnsi="Times New Roman" w:cs="Times New Roman"/>
          <w:sz w:val="24"/>
          <w:szCs w:val="24"/>
        </w:rPr>
        <w:t xml:space="preserve"> </w:t>
      </w:r>
      <w:r w:rsidRPr="006A316D">
        <w:rPr>
          <w:rFonts w:ascii="Times New Roman" w:hAnsi="Times New Roman" w:cs="Times New Roman"/>
          <w:sz w:val="24"/>
          <w:szCs w:val="24"/>
        </w:rPr>
        <w:t>gruptaki düşük renal fonksiyon özellikleri ile ilişkilidir.</w:t>
      </w:r>
    </w:p>
    <w:p w14:paraId="630B65FA" w14:textId="77777777" w:rsidR="00BD0D73" w:rsidRPr="006A316D" w:rsidRDefault="00BD0D73" w:rsidP="00BD0D73">
      <w:pPr>
        <w:spacing w:after="0" w:line="240" w:lineRule="auto"/>
        <w:jc w:val="both"/>
        <w:rPr>
          <w:rFonts w:ascii="Times New Roman" w:hAnsi="Times New Roman" w:cs="Times New Roman"/>
          <w:strike/>
          <w:sz w:val="24"/>
          <w:szCs w:val="24"/>
        </w:rPr>
      </w:pPr>
    </w:p>
    <w:p w14:paraId="475415AA" w14:textId="77777777" w:rsidR="00ED2805" w:rsidRPr="006A316D" w:rsidRDefault="00ED2805" w:rsidP="00ED2805">
      <w:pPr>
        <w:spacing w:after="0" w:line="240" w:lineRule="auto"/>
        <w:jc w:val="both"/>
        <w:rPr>
          <w:rFonts w:ascii="Times New Roman" w:hAnsi="Times New Roman" w:cs="Times New Roman"/>
          <w:sz w:val="24"/>
          <w:szCs w:val="24"/>
        </w:rPr>
      </w:pPr>
    </w:p>
    <w:p w14:paraId="7FCFFF88" w14:textId="77777777" w:rsidR="00ED2805" w:rsidRPr="006A316D" w:rsidRDefault="00ED2805" w:rsidP="0073224E">
      <w:pPr>
        <w:spacing w:after="6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5.3. Klinik öncesi güvenlilik verileri</w:t>
      </w:r>
    </w:p>
    <w:p w14:paraId="698B105F" w14:textId="77777777" w:rsidR="00ED2805" w:rsidRPr="006A316D" w:rsidRDefault="00ED2805" w:rsidP="0073224E">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Karsinojenez</w:t>
      </w:r>
    </w:p>
    <w:p w14:paraId="16FFF20B" w14:textId="77777777" w:rsidR="00ED2805" w:rsidRPr="006A316D" w:rsidRDefault="00ED2805" w:rsidP="0073224E">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Flukonazol 24 ay boyunca 2</w:t>
      </w:r>
      <w:r w:rsidR="00977620" w:rsidRPr="006A316D">
        <w:rPr>
          <w:rFonts w:ascii="Times New Roman" w:hAnsi="Times New Roman" w:cs="Times New Roman"/>
          <w:sz w:val="24"/>
          <w:szCs w:val="24"/>
        </w:rPr>
        <w:t>,</w:t>
      </w:r>
      <w:r w:rsidRPr="006A316D">
        <w:rPr>
          <w:rFonts w:ascii="Times New Roman" w:hAnsi="Times New Roman" w:cs="Times New Roman"/>
          <w:sz w:val="24"/>
          <w:szCs w:val="24"/>
        </w:rPr>
        <w:t>5, 5 veya 10 mg/kg/gün (önerilen insan dozunun yaklaşık 2-7</w:t>
      </w:r>
      <w:r w:rsidR="0073224E" w:rsidRPr="006A316D">
        <w:rPr>
          <w:rFonts w:ascii="Times New Roman" w:hAnsi="Times New Roman" w:cs="Times New Roman"/>
          <w:sz w:val="24"/>
          <w:szCs w:val="24"/>
        </w:rPr>
        <w:t xml:space="preserve"> </w:t>
      </w:r>
      <w:r w:rsidRPr="006A316D">
        <w:rPr>
          <w:rFonts w:ascii="Times New Roman" w:hAnsi="Times New Roman" w:cs="Times New Roman"/>
          <w:sz w:val="24"/>
          <w:szCs w:val="24"/>
        </w:rPr>
        <w:t>katı) dozlarda fare ve sıçanlarda karsinojenik potansiyele ait hiçbir kanıt göstermemiştir. 5 ve</w:t>
      </w:r>
      <w:r w:rsidR="0073224E" w:rsidRPr="006A316D">
        <w:rPr>
          <w:rFonts w:ascii="Times New Roman" w:hAnsi="Times New Roman" w:cs="Times New Roman"/>
          <w:sz w:val="24"/>
          <w:szCs w:val="24"/>
        </w:rPr>
        <w:t xml:space="preserve"> </w:t>
      </w:r>
      <w:r w:rsidRPr="006A316D">
        <w:rPr>
          <w:rFonts w:ascii="Times New Roman" w:hAnsi="Times New Roman" w:cs="Times New Roman"/>
          <w:sz w:val="24"/>
          <w:szCs w:val="24"/>
        </w:rPr>
        <w:t>10 mg/kg/gün flukonazol uygulanan erkek sıçanlarda hepatoselüler adenom insidansı</w:t>
      </w:r>
      <w:r w:rsidR="0073224E" w:rsidRPr="006A316D">
        <w:rPr>
          <w:rFonts w:ascii="Times New Roman" w:hAnsi="Times New Roman" w:cs="Times New Roman"/>
          <w:sz w:val="24"/>
          <w:szCs w:val="24"/>
        </w:rPr>
        <w:t xml:space="preserve"> </w:t>
      </w:r>
      <w:r w:rsidRPr="006A316D">
        <w:rPr>
          <w:rFonts w:ascii="Times New Roman" w:hAnsi="Times New Roman" w:cs="Times New Roman"/>
          <w:sz w:val="24"/>
          <w:szCs w:val="24"/>
        </w:rPr>
        <w:t>artmıştır.</w:t>
      </w:r>
    </w:p>
    <w:p w14:paraId="73F54831" w14:textId="77777777" w:rsidR="0073224E" w:rsidRPr="006A316D" w:rsidRDefault="0073224E" w:rsidP="0073224E">
      <w:pPr>
        <w:spacing w:after="0" w:line="240" w:lineRule="auto"/>
        <w:ind w:left="284"/>
        <w:jc w:val="both"/>
        <w:rPr>
          <w:rFonts w:ascii="Times New Roman" w:hAnsi="Times New Roman" w:cs="Times New Roman"/>
          <w:sz w:val="24"/>
          <w:szCs w:val="24"/>
        </w:rPr>
      </w:pPr>
    </w:p>
    <w:p w14:paraId="23DF627C" w14:textId="77777777" w:rsidR="00ED2805" w:rsidRPr="006A316D" w:rsidRDefault="00ED2805" w:rsidP="0073224E">
      <w:pPr>
        <w:spacing w:after="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Mutajenez</w:t>
      </w:r>
    </w:p>
    <w:p w14:paraId="4BD1EB10" w14:textId="77777777" w:rsidR="00ED2805" w:rsidRPr="006A316D" w:rsidRDefault="00ED2805" w:rsidP="0073224E">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 xml:space="preserve">Flukonazol, metabolik olarak aktif olsun veya olmasın, </w:t>
      </w:r>
      <w:r w:rsidR="00AF1B87" w:rsidRPr="006A316D">
        <w:rPr>
          <w:rFonts w:ascii="Times New Roman" w:hAnsi="Times New Roman" w:cs="Times New Roman"/>
          <w:i/>
          <w:iCs/>
          <w:sz w:val="24"/>
          <w:szCs w:val="24"/>
        </w:rPr>
        <w:t xml:space="preserve">S. </w:t>
      </w:r>
      <w:r w:rsidRPr="006A316D">
        <w:rPr>
          <w:rFonts w:ascii="Times New Roman" w:hAnsi="Times New Roman" w:cs="Times New Roman"/>
          <w:i/>
          <w:iCs/>
          <w:sz w:val="24"/>
          <w:szCs w:val="24"/>
        </w:rPr>
        <w:t xml:space="preserve">typhimurium </w:t>
      </w:r>
      <w:r w:rsidRPr="006A316D">
        <w:rPr>
          <w:rFonts w:ascii="Times New Roman" w:hAnsi="Times New Roman" w:cs="Times New Roman"/>
          <w:sz w:val="24"/>
          <w:szCs w:val="24"/>
        </w:rPr>
        <w:t>’a ait 4 suşta ve fare</w:t>
      </w:r>
      <w:r w:rsidR="0073224E" w:rsidRPr="006A316D">
        <w:rPr>
          <w:rFonts w:ascii="Times New Roman" w:hAnsi="Times New Roman" w:cs="Times New Roman"/>
          <w:sz w:val="24"/>
          <w:szCs w:val="24"/>
        </w:rPr>
        <w:t xml:space="preserve"> </w:t>
      </w:r>
      <w:r w:rsidRPr="006A316D">
        <w:rPr>
          <w:rFonts w:ascii="Times New Roman" w:hAnsi="Times New Roman" w:cs="Times New Roman"/>
          <w:sz w:val="24"/>
          <w:szCs w:val="24"/>
        </w:rPr>
        <w:t xml:space="preserve">lenfoma L5178Y sisteminde yapılan mutajenite testlerinde, negatif sonuç vermiştir. </w:t>
      </w:r>
      <w:r w:rsidR="00AF1B87" w:rsidRPr="006A316D">
        <w:rPr>
          <w:rFonts w:ascii="Times New Roman" w:hAnsi="Times New Roman" w:cs="Times New Roman"/>
          <w:i/>
          <w:iCs/>
          <w:sz w:val="24"/>
          <w:szCs w:val="24"/>
        </w:rPr>
        <w:t>I</w:t>
      </w:r>
      <w:r w:rsidRPr="006A316D">
        <w:rPr>
          <w:rFonts w:ascii="Times New Roman" w:hAnsi="Times New Roman" w:cs="Times New Roman"/>
          <w:i/>
          <w:iCs/>
          <w:sz w:val="24"/>
          <w:szCs w:val="24"/>
        </w:rPr>
        <w:t>n vivo</w:t>
      </w:r>
      <w:r w:rsidR="0073224E" w:rsidRPr="006A316D">
        <w:rPr>
          <w:rFonts w:ascii="Times New Roman" w:hAnsi="Times New Roman" w:cs="Times New Roman"/>
          <w:i/>
          <w:iCs/>
          <w:sz w:val="24"/>
          <w:szCs w:val="24"/>
        </w:rPr>
        <w:t xml:space="preserve"> </w:t>
      </w:r>
      <w:r w:rsidRPr="006A316D">
        <w:rPr>
          <w:rFonts w:ascii="Times New Roman" w:hAnsi="Times New Roman" w:cs="Times New Roman"/>
          <w:sz w:val="24"/>
          <w:szCs w:val="24"/>
        </w:rPr>
        <w:t xml:space="preserve">(flukonazolün oral uygulanmasını takiben </w:t>
      </w:r>
      <w:r w:rsidR="00AF1B87" w:rsidRPr="006A316D">
        <w:rPr>
          <w:rFonts w:ascii="Times New Roman" w:hAnsi="Times New Roman" w:cs="Times New Roman"/>
          <w:sz w:val="24"/>
          <w:szCs w:val="24"/>
        </w:rPr>
        <w:t xml:space="preserve">sıçangillerin </w:t>
      </w:r>
      <w:r w:rsidRPr="006A316D">
        <w:rPr>
          <w:rFonts w:ascii="Times New Roman" w:hAnsi="Times New Roman" w:cs="Times New Roman"/>
          <w:sz w:val="24"/>
          <w:szCs w:val="24"/>
        </w:rPr>
        <w:t xml:space="preserve">kemik iliği hücreleri) ve </w:t>
      </w:r>
      <w:r w:rsidRPr="006A316D">
        <w:rPr>
          <w:rFonts w:ascii="Times New Roman" w:hAnsi="Times New Roman" w:cs="Times New Roman"/>
          <w:i/>
          <w:iCs/>
          <w:sz w:val="24"/>
          <w:szCs w:val="24"/>
        </w:rPr>
        <w:t xml:space="preserve">in vitro </w:t>
      </w:r>
      <w:r w:rsidRPr="006A316D">
        <w:rPr>
          <w:rFonts w:ascii="Times New Roman" w:hAnsi="Times New Roman" w:cs="Times New Roman"/>
          <w:sz w:val="24"/>
          <w:szCs w:val="24"/>
        </w:rPr>
        <w:t>(1000</w:t>
      </w:r>
      <w:r w:rsidR="0073224E" w:rsidRPr="006A316D">
        <w:rPr>
          <w:rFonts w:ascii="Times New Roman" w:hAnsi="Times New Roman" w:cs="Times New Roman"/>
          <w:sz w:val="24"/>
          <w:szCs w:val="24"/>
        </w:rPr>
        <w:t xml:space="preserve"> </w:t>
      </w:r>
      <w:r w:rsidR="00AF1B87" w:rsidRPr="006A316D">
        <w:rPr>
          <w:rFonts w:ascii="Times New Roman" w:hAnsi="Times New Roman" w:cs="Times New Roman"/>
          <w:sz w:val="24"/>
          <w:szCs w:val="24"/>
        </w:rPr>
        <w:t>mc</w:t>
      </w:r>
      <w:r w:rsidRPr="006A316D">
        <w:rPr>
          <w:rFonts w:ascii="Times New Roman" w:hAnsi="Times New Roman" w:cs="Times New Roman"/>
          <w:sz w:val="24"/>
          <w:szCs w:val="24"/>
        </w:rPr>
        <w:t>g/m</w:t>
      </w:r>
      <w:r w:rsidR="00AF1B87" w:rsidRPr="006A316D">
        <w:rPr>
          <w:rFonts w:ascii="Times New Roman" w:hAnsi="Times New Roman" w:cs="Times New Roman"/>
          <w:sz w:val="24"/>
          <w:szCs w:val="24"/>
        </w:rPr>
        <w:t>l</w:t>
      </w:r>
      <w:r w:rsidRPr="006A316D">
        <w:rPr>
          <w:rFonts w:ascii="Times New Roman" w:hAnsi="Times New Roman" w:cs="Times New Roman"/>
          <w:sz w:val="24"/>
          <w:szCs w:val="24"/>
        </w:rPr>
        <w:t xml:space="preserve"> flukonazole maruz kalan insan lenfositleri) sitojenetik çalışmalar kromozomal</w:t>
      </w:r>
      <w:r w:rsidR="0073224E" w:rsidRPr="006A316D">
        <w:rPr>
          <w:rFonts w:ascii="Times New Roman" w:hAnsi="Times New Roman" w:cs="Times New Roman"/>
          <w:sz w:val="24"/>
          <w:szCs w:val="24"/>
        </w:rPr>
        <w:t xml:space="preserve"> </w:t>
      </w:r>
      <w:r w:rsidRPr="006A316D">
        <w:rPr>
          <w:rFonts w:ascii="Times New Roman" w:hAnsi="Times New Roman" w:cs="Times New Roman"/>
          <w:sz w:val="24"/>
          <w:szCs w:val="24"/>
        </w:rPr>
        <w:t>mutasyona ait hiçbir kanıt göstermemiştir.</w:t>
      </w:r>
    </w:p>
    <w:p w14:paraId="4F33B19C" w14:textId="77777777" w:rsidR="00ED2805" w:rsidRPr="006A316D" w:rsidRDefault="00ED2805" w:rsidP="0073224E">
      <w:pPr>
        <w:spacing w:after="0" w:line="240" w:lineRule="auto"/>
        <w:ind w:left="284"/>
        <w:jc w:val="both"/>
        <w:rPr>
          <w:rFonts w:ascii="Times New Roman" w:hAnsi="Times New Roman" w:cs="Times New Roman"/>
          <w:sz w:val="24"/>
          <w:szCs w:val="24"/>
        </w:rPr>
      </w:pPr>
    </w:p>
    <w:p w14:paraId="0D317DA0" w14:textId="77777777" w:rsidR="00BD0D73" w:rsidRPr="006A316D" w:rsidRDefault="00C14C93" w:rsidP="00B458FD">
      <w:pPr>
        <w:spacing w:after="60" w:line="240" w:lineRule="auto"/>
        <w:ind w:left="284"/>
        <w:jc w:val="both"/>
        <w:rPr>
          <w:rFonts w:ascii="Times New Roman" w:hAnsi="Times New Roman" w:cs="Times New Roman"/>
          <w:sz w:val="24"/>
          <w:szCs w:val="24"/>
          <w:u w:val="single"/>
        </w:rPr>
      </w:pPr>
      <w:r w:rsidRPr="006A316D">
        <w:rPr>
          <w:rFonts w:ascii="Times New Roman" w:hAnsi="Times New Roman" w:cs="Times New Roman"/>
          <w:sz w:val="24"/>
          <w:szCs w:val="24"/>
          <w:u w:val="single"/>
        </w:rPr>
        <w:t>Üreme toksisitesi</w:t>
      </w:r>
    </w:p>
    <w:p w14:paraId="3EAD0F55" w14:textId="77777777" w:rsidR="00C14C93" w:rsidRPr="006A316D" w:rsidRDefault="00C14C93" w:rsidP="00C14C9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Oral 5, 10 veya 20 mg/kg/gün flukonazol dozları veya parenteral 5,25 veya 75 mg/kg/gün flukonazol dozları uygulanan dişi ve erkek sıçanların fertilitesi etkilenmemiştir.</w:t>
      </w:r>
    </w:p>
    <w:p w14:paraId="1032102A" w14:textId="77777777" w:rsidR="00C14C93" w:rsidRPr="006A316D" w:rsidRDefault="00C14C93" w:rsidP="00C14C93">
      <w:pPr>
        <w:spacing w:after="0" w:line="240" w:lineRule="auto"/>
        <w:ind w:left="284"/>
        <w:jc w:val="both"/>
        <w:rPr>
          <w:rFonts w:ascii="Times New Roman" w:hAnsi="Times New Roman" w:cs="Times New Roman"/>
          <w:sz w:val="24"/>
          <w:szCs w:val="24"/>
        </w:rPr>
      </w:pPr>
    </w:p>
    <w:p w14:paraId="6BA2DE64" w14:textId="77777777" w:rsidR="00C14C93" w:rsidRPr="006A316D" w:rsidRDefault="00C14C93" w:rsidP="00C14C9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5 veya 10 mg/kg’de hiçbir fetal etki görülmemiştir; fetal anatomik varyantlarda (normalden fazla sayıda kaburga, renal pelviste dilasyon) artışlar ve kemikleşmede gecikmeler, 25, 50 mg/kg ve üzeri dozlarda gözlenmiştir. Sıçanlarda embriyo letalite 80 mg/kg (önerilen insan dozunun yaklaşık 20-60 katı) ila 320 mg/kg arasında değişen dozlarda artmıştır; fetal anormallikler arasında dalgalı kaburgalar, yarık damak ve anormal kranyofasiyal kemikleşme yer almıştır.</w:t>
      </w:r>
    </w:p>
    <w:p w14:paraId="623A98F0" w14:textId="77777777" w:rsidR="00C14C93" w:rsidRPr="006A316D" w:rsidRDefault="00C14C93" w:rsidP="00C14C93">
      <w:pPr>
        <w:spacing w:after="0" w:line="240" w:lineRule="auto"/>
        <w:ind w:left="284"/>
        <w:jc w:val="both"/>
        <w:rPr>
          <w:rFonts w:ascii="Times New Roman" w:hAnsi="Times New Roman" w:cs="Times New Roman"/>
          <w:sz w:val="24"/>
          <w:szCs w:val="24"/>
        </w:rPr>
      </w:pPr>
    </w:p>
    <w:p w14:paraId="7D0A1DB4" w14:textId="77777777" w:rsidR="00C14C93" w:rsidRPr="006A316D" w:rsidRDefault="00C14C93" w:rsidP="00C14C9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lastRenderedPageBreak/>
        <w:t>20 mg/kg oral yoldan flukonazol uygulanması sonucu doğum başlangıcı kısa bir süre gecikmiştir ve 20 mg/kg ve 40 mg/kg intravenöz dozlarda birkaç vakada distosi ve doğum süresinde uzama görülmüştür. Doğumdaki bozukluklar bu doz seviyelerinde ölü doğmuş yavruların sayısındaki artış ile ve doğum sonrası sağkalımdaki azalma ile kendini göstermiştir.</w:t>
      </w:r>
    </w:p>
    <w:p w14:paraId="08227F86" w14:textId="77777777" w:rsidR="00C14C93" w:rsidRPr="006A316D" w:rsidRDefault="00C14C93" w:rsidP="00C14C93">
      <w:pPr>
        <w:spacing w:after="0" w:line="240" w:lineRule="auto"/>
        <w:ind w:left="284"/>
        <w:jc w:val="both"/>
        <w:rPr>
          <w:rFonts w:ascii="Times New Roman" w:hAnsi="Times New Roman" w:cs="Times New Roman"/>
          <w:sz w:val="24"/>
          <w:szCs w:val="24"/>
        </w:rPr>
      </w:pPr>
    </w:p>
    <w:p w14:paraId="2E82F858" w14:textId="77777777" w:rsidR="00C14C93" w:rsidRPr="006A316D" w:rsidRDefault="00C14C93" w:rsidP="00C14C93">
      <w:pPr>
        <w:spacing w:after="0" w:line="240" w:lineRule="auto"/>
        <w:ind w:left="284"/>
        <w:jc w:val="both"/>
        <w:rPr>
          <w:rFonts w:ascii="Times New Roman" w:hAnsi="Times New Roman" w:cs="Times New Roman"/>
          <w:sz w:val="24"/>
          <w:szCs w:val="24"/>
        </w:rPr>
      </w:pPr>
      <w:r w:rsidRPr="006A316D">
        <w:rPr>
          <w:rFonts w:ascii="Times New Roman" w:hAnsi="Times New Roman" w:cs="Times New Roman"/>
          <w:sz w:val="24"/>
          <w:szCs w:val="24"/>
        </w:rPr>
        <w:t>Doğumdaki bu etkiler yüksek dozdaki flukonazol ile oluşturulan östrojen düşürücü özelliğe spesifik türler ile uyumludur. Buna benzer bir hormon değişikliği flukonazol uygulanan kadınlarda gözlenmemiştir (</w:t>
      </w:r>
      <w:r w:rsidR="00AF1B87" w:rsidRPr="006A316D">
        <w:rPr>
          <w:rFonts w:ascii="Times New Roman" w:hAnsi="Times New Roman" w:cs="Times New Roman"/>
          <w:sz w:val="24"/>
          <w:szCs w:val="24"/>
        </w:rPr>
        <w:t>B</w:t>
      </w:r>
      <w:r w:rsidRPr="006A316D">
        <w:rPr>
          <w:rFonts w:ascii="Times New Roman" w:hAnsi="Times New Roman" w:cs="Times New Roman"/>
          <w:sz w:val="24"/>
          <w:szCs w:val="24"/>
        </w:rPr>
        <w:t>kz. Bölüm 5.1).</w:t>
      </w:r>
    </w:p>
    <w:p w14:paraId="717E1870" w14:textId="77777777" w:rsidR="00C14C93" w:rsidRPr="006A316D" w:rsidRDefault="00C14C93" w:rsidP="0073224E">
      <w:pPr>
        <w:spacing w:after="0" w:line="240" w:lineRule="auto"/>
        <w:ind w:left="284"/>
        <w:jc w:val="both"/>
        <w:rPr>
          <w:rFonts w:ascii="Times New Roman" w:hAnsi="Times New Roman" w:cs="Times New Roman"/>
          <w:sz w:val="24"/>
          <w:szCs w:val="24"/>
        </w:rPr>
      </w:pPr>
    </w:p>
    <w:p w14:paraId="0D7C840A" w14:textId="77777777" w:rsidR="00ED2805" w:rsidRPr="006A316D" w:rsidRDefault="00ED2805" w:rsidP="00ED2805">
      <w:pPr>
        <w:spacing w:after="0" w:line="240" w:lineRule="auto"/>
        <w:jc w:val="both"/>
        <w:rPr>
          <w:rFonts w:ascii="Times New Roman" w:hAnsi="Times New Roman" w:cs="Times New Roman"/>
          <w:sz w:val="24"/>
          <w:szCs w:val="24"/>
        </w:rPr>
      </w:pPr>
    </w:p>
    <w:p w14:paraId="7CE23724" w14:textId="77777777" w:rsidR="00ED2805" w:rsidRPr="006A316D" w:rsidRDefault="00ED2805" w:rsidP="00ED2805">
      <w:pPr>
        <w:spacing w:after="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6. FARMASÖTİK ÖZELLİKLER</w:t>
      </w:r>
    </w:p>
    <w:p w14:paraId="0D6A532C" w14:textId="77777777" w:rsidR="00D4230E" w:rsidRPr="006A316D" w:rsidRDefault="00D4230E" w:rsidP="00ED2805">
      <w:pPr>
        <w:spacing w:after="0" w:line="240" w:lineRule="auto"/>
        <w:jc w:val="both"/>
        <w:rPr>
          <w:rFonts w:ascii="Times New Roman" w:hAnsi="Times New Roman" w:cs="Times New Roman"/>
          <w:b/>
          <w:bCs/>
          <w:sz w:val="24"/>
          <w:szCs w:val="24"/>
        </w:rPr>
      </w:pPr>
    </w:p>
    <w:p w14:paraId="43057276" w14:textId="77777777" w:rsidR="00ED2805" w:rsidRPr="006A316D" w:rsidRDefault="00ED2805" w:rsidP="00ED2805">
      <w:pPr>
        <w:spacing w:after="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6.1 Yardımcı maddelerin listesi</w:t>
      </w:r>
    </w:p>
    <w:p w14:paraId="4304EA8A" w14:textId="77777777" w:rsidR="0073224E" w:rsidRPr="006A316D" w:rsidRDefault="0073224E" w:rsidP="0073224E">
      <w:pPr>
        <w:spacing w:after="0" w:line="240" w:lineRule="auto"/>
        <w:ind w:left="360"/>
        <w:rPr>
          <w:rFonts w:ascii="Times New Roman" w:eastAsia="Times New Roman" w:hAnsi="Times New Roman" w:cs="Times New Roman"/>
          <w:bCs/>
          <w:sz w:val="24"/>
          <w:szCs w:val="24"/>
          <w:lang w:eastAsia="tr-TR"/>
        </w:rPr>
      </w:pPr>
      <w:r w:rsidRPr="006A316D">
        <w:rPr>
          <w:rFonts w:ascii="Times New Roman" w:eastAsia="Times New Roman" w:hAnsi="Times New Roman" w:cs="Times New Roman"/>
          <w:bCs/>
          <w:sz w:val="24"/>
          <w:szCs w:val="24"/>
          <w:lang w:eastAsia="tr-TR"/>
        </w:rPr>
        <w:t>Laktoz</w:t>
      </w:r>
      <w:r w:rsidR="002E15A5" w:rsidRPr="006A316D">
        <w:rPr>
          <w:rFonts w:ascii="Times New Roman" w:eastAsia="Times New Roman" w:hAnsi="Times New Roman" w:cs="Times New Roman"/>
          <w:bCs/>
          <w:sz w:val="24"/>
          <w:szCs w:val="24"/>
          <w:lang w:eastAsia="tr-TR"/>
        </w:rPr>
        <w:t xml:space="preserve"> (sığır kaynaklı laktoz)</w:t>
      </w:r>
    </w:p>
    <w:p w14:paraId="2EA68986" w14:textId="77777777" w:rsidR="0073224E" w:rsidRPr="006A316D" w:rsidRDefault="0073224E" w:rsidP="0073224E">
      <w:pPr>
        <w:spacing w:after="0" w:line="240" w:lineRule="auto"/>
        <w:ind w:left="360"/>
        <w:rPr>
          <w:rFonts w:ascii="Times New Roman" w:eastAsia="Times New Roman" w:hAnsi="Times New Roman" w:cs="Times New Roman"/>
          <w:bCs/>
          <w:sz w:val="24"/>
          <w:szCs w:val="24"/>
          <w:lang w:eastAsia="tr-TR"/>
        </w:rPr>
      </w:pPr>
      <w:r w:rsidRPr="006A316D">
        <w:rPr>
          <w:rFonts w:ascii="Times New Roman" w:eastAsia="Times New Roman" w:hAnsi="Times New Roman" w:cs="Times New Roman"/>
          <w:bCs/>
          <w:sz w:val="24"/>
          <w:szCs w:val="24"/>
          <w:lang w:eastAsia="tr-TR"/>
        </w:rPr>
        <w:t xml:space="preserve">Nişasta </w:t>
      </w:r>
    </w:p>
    <w:p w14:paraId="45F6A7E8" w14:textId="77777777" w:rsidR="0073224E" w:rsidRPr="006A316D" w:rsidRDefault="0073224E" w:rsidP="0073224E">
      <w:pPr>
        <w:spacing w:after="0" w:line="240" w:lineRule="auto"/>
        <w:ind w:left="360"/>
        <w:rPr>
          <w:rFonts w:ascii="Times New Roman" w:eastAsia="Times New Roman" w:hAnsi="Times New Roman" w:cs="Times New Roman"/>
          <w:bCs/>
          <w:sz w:val="24"/>
          <w:szCs w:val="24"/>
          <w:lang w:eastAsia="tr-TR"/>
        </w:rPr>
      </w:pPr>
      <w:r w:rsidRPr="006A316D">
        <w:rPr>
          <w:rFonts w:ascii="Times New Roman" w:eastAsia="Times New Roman" w:hAnsi="Times New Roman" w:cs="Times New Roman"/>
          <w:bCs/>
          <w:sz w:val="24"/>
          <w:szCs w:val="24"/>
          <w:lang w:eastAsia="tr-TR"/>
        </w:rPr>
        <w:t xml:space="preserve">Kolloidal silikon dioksit </w:t>
      </w:r>
    </w:p>
    <w:p w14:paraId="22943B09" w14:textId="77777777" w:rsidR="0073224E" w:rsidRPr="006A316D" w:rsidRDefault="0073224E" w:rsidP="0073224E">
      <w:pPr>
        <w:spacing w:after="0" w:line="240" w:lineRule="auto"/>
        <w:ind w:left="360"/>
        <w:rPr>
          <w:rFonts w:ascii="Times New Roman" w:eastAsia="Times New Roman" w:hAnsi="Times New Roman" w:cs="Times New Roman"/>
          <w:bCs/>
          <w:sz w:val="24"/>
          <w:szCs w:val="24"/>
          <w:lang w:eastAsia="tr-TR"/>
        </w:rPr>
      </w:pPr>
      <w:r w:rsidRPr="006A316D">
        <w:rPr>
          <w:rFonts w:ascii="Times New Roman" w:eastAsia="Times New Roman" w:hAnsi="Times New Roman" w:cs="Times New Roman"/>
          <w:bCs/>
          <w:sz w:val="24"/>
          <w:szCs w:val="24"/>
          <w:lang w:eastAsia="tr-TR"/>
        </w:rPr>
        <w:t xml:space="preserve">Sodyum lauril sülfat </w:t>
      </w:r>
    </w:p>
    <w:p w14:paraId="2BA99440" w14:textId="77777777" w:rsidR="0073224E" w:rsidRPr="006A316D" w:rsidRDefault="0073224E" w:rsidP="0073224E">
      <w:pPr>
        <w:spacing w:after="0" w:line="240" w:lineRule="auto"/>
        <w:ind w:left="360"/>
        <w:rPr>
          <w:rFonts w:ascii="Times New Roman" w:eastAsia="Times New Roman" w:hAnsi="Times New Roman" w:cs="Times New Roman"/>
          <w:bCs/>
          <w:sz w:val="24"/>
          <w:szCs w:val="24"/>
          <w:lang w:eastAsia="tr-TR"/>
        </w:rPr>
      </w:pPr>
      <w:r w:rsidRPr="006A316D">
        <w:rPr>
          <w:rFonts w:ascii="Times New Roman" w:eastAsia="Times New Roman" w:hAnsi="Times New Roman" w:cs="Times New Roman"/>
          <w:bCs/>
          <w:sz w:val="24"/>
          <w:szCs w:val="24"/>
          <w:lang w:eastAsia="tr-TR"/>
        </w:rPr>
        <w:t>Magnezyum stearat</w:t>
      </w:r>
    </w:p>
    <w:p w14:paraId="23A915C5" w14:textId="77777777" w:rsidR="00CA7DA5" w:rsidRPr="006A316D" w:rsidRDefault="00CA7DA5" w:rsidP="0073224E">
      <w:pPr>
        <w:spacing w:after="0" w:line="240" w:lineRule="auto"/>
        <w:ind w:left="360"/>
        <w:rPr>
          <w:rFonts w:ascii="Times New Roman" w:eastAsia="Times New Roman" w:hAnsi="Times New Roman" w:cs="Times New Roman"/>
          <w:bCs/>
          <w:sz w:val="24"/>
          <w:szCs w:val="24"/>
          <w:lang w:eastAsia="tr-TR"/>
        </w:rPr>
      </w:pPr>
      <w:r w:rsidRPr="006A316D">
        <w:rPr>
          <w:rFonts w:ascii="Times New Roman" w:eastAsia="Times New Roman" w:hAnsi="Times New Roman" w:cs="Times New Roman"/>
          <w:bCs/>
          <w:sz w:val="24"/>
          <w:szCs w:val="24"/>
          <w:lang w:eastAsia="tr-TR"/>
        </w:rPr>
        <w:t>Jelatin</w:t>
      </w:r>
      <w:r w:rsidR="002E15A5" w:rsidRPr="006A316D">
        <w:rPr>
          <w:rFonts w:ascii="Times New Roman" w:eastAsia="Times New Roman" w:hAnsi="Times New Roman" w:cs="Times New Roman"/>
          <w:bCs/>
          <w:sz w:val="24"/>
          <w:szCs w:val="24"/>
          <w:lang w:eastAsia="tr-TR"/>
        </w:rPr>
        <w:t xml:space="preserve"> (sığır kaynaklı jelatin)</w:t>
      </w:r>
    </w:p>
    <w:p w14:paraId="28B4FB16" w14:textId="77777777" w:rsidR="00ED2805" w:rsidRPr="006A316D" w:rsidRDefault="00CA7DA5" w:rsidP="0073224E">
      <w:pPr>
        <w:spacing w:after="0" w:line="240" w:lineRule="auto"/>
        <w:ind w:left="360"/>
        <w:rPr>
          <w:rFonts w:ascii="Times New Roman" w:eastAsia="Times New Roman" w:hAnsi="Times New Roman" w:cs="Times New Roman"/>
          <w:bCs/>
          <w:sz w:val="24"/>
          <w:szCs w:val="24"/>
          <w:lang w:eastAsia="tr-TR"/>
        </w:rPr>
      </w:pPr>
      <w:r w:rsidRPr="006A316D">
        <w:rPr>
          <w:rFonts w:ascii="Times New Roman" w:eastAsia="Times New Roman" w:hAnsi="Times New Roman" w:cs="Times New Roman"/>
          <w:bCs/>
          <w:sz w:val="24"/>
          <w:szCs w:val="24"/>
          <w:lang w:eastAsia="tr-TR"/>
        </w:rPr>
        <w:t>T</w:t>
      </w:r>
      <w:r w:rsidR="0073224E" w:rsidRPr="006A316D">
        <w:rPr>
          <w:rFonts w:ascii="Times New Roman" w:eastAsia="Times New Roman" w:hAnsi="Times New Roman" w:cs="Times New Roman"/>
          <w:bCs/>
          <w:sz w:val="24"/>
          <w:szCs w:val="24"/>
          <w:lang w:eastAsia="tr-TR"/>
        </w:rPr>
        <w:t>itanyum dioksit (E171)</w:t>
      </w:r>
    </w:p>
    <w:p w14:paraId="421150A3" w14:textId="77777777" w:rsidR="00ED2805" w:rsidRPr="006A316D" w:rsidRDefault="00ED2805" w:rsidP="00ED2805">
      <w:pPr>
        <w:spacing w:after="0" w:line="240" w:lineRule="auto"/>
        <w:jc w:val="both"/>
        <w:rPr>
          <w:rFonts w:ascii="Times New Roman" w:hAnsi="Times New Roman" w:cs="Times New Roman"/>
          <w:sz w:val="24"/>
          <w:szCs w:val="24"/>
        </w:rPr>
      </w:pPr>
    </w:p>
    <w:p w14:paraId="2D4F484B" w14:textId="77777777" w:rsidR="00ED2805" w:rsidRPr="006A316D" w:rsidRDefault="00ED2805" w:rsidP="00ED2805">
      <w:pPr>
        <w:spacing w:after="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6.2 Geçimsizlikler</w:t>
      </w:r>
    </w:p>
    <w:p w14:paraId="55953F3C" w14:textId="77777777" w:rsidR="00ED2805" w:rsidRPr="006A316D" w:rsidRDefault="00AF1B87" w:rsidP="00954814">
      <w:pPr>
        <w:spacing w:after="0" w:line="240" w:lineRule="auto"/>
        <w:ind w:left="426"/>
        <w:jc w:val="both"/>
        <w:rPr>
          <w:rFonts w:ascii="Times New Roman" w:hAnsi="Times New Roman" w:cs="Times New Roman"/>
          <w:sz w:val="24"/>
          <w:szCs w:val="24"/>
        </w:rPr>
      </w:pPr>
      <w:r w:rsidRPr="006A316D">
        <w:rPr>
          <w:rFonts w:ascii="Times New Roman" w:hAnsi="Times New Roman" w:cs="Times New Roman"/>
          <w:sz w:val="24"/>
          <w:szCs w:val="24"/>
        </w:rPr>
        <w:t>Yoktur.</w:t>
      </w:r>
    </w:p>
    <w:p w14:paraId="59A7C067" w14:textId="77777777" w:rsidR="00624EBB" w:rsidRPr="006A316D" w:rsidRDefault="00624EBB" w:rsidP="00954814">
      <w:pPr>
        <w:spacing w:after="0" w:line="240" w:lineRule="auto"/>
        <w:ind w:left="426"/>
        <w:jc w:val="both"/>
        <w:rPr>
          <w:rFonts w:ascii="Times New Roman" w:hAnsi="Times New Roman" w:cs="Times New Roman"/>
          <w:sz w:val="24"/>
          <w:szCs w:val="24"/>
        </w:rPr>
      </w:pPr>
    </w:p>
    <w:p w14:paraId="138D26EE" w14:textId="77777777" w:rsidR="00ED2805" w:rsidRPr="006A316D" w:rsidRDefault="00ED2805" w:rsidP="00ED2805">
      <w:pPr>
        <w:spacing w:after="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6.3 Raf ömrü</w:t>
      </w:r>
    </w:p>
    <w:p w14:paraId="291B4770" w14:textId="77777777" w:rsidR="00ED2805" w:rsidRPr="006A316D" w:rsidRDefault="00D35FC0" w:rsidP="00954814">
      <w:pPr>
        <w:tabs>
          <w:tab w:val="left" w:pos="426"/>
        </w:tabs>
        <w:spacing w:after="0" w:line="240" w:lineRule="auto"/>
        <w:ind w:left="426"/>
        <w:jc w:val="both"/>
        <w:rPr>
          <w:rFonts w:ascii="Times New Roman" w:hAnsi="Times New Roman" w:cs="Times New Roman"/>
          <w:sz w:val="24"/>
          <w:szCs w:val="24"/>
        </w:rPr>
      </w:pPr>
      <w:r w:rsidRPr="006A316D">
        <w:rPr>
          <w:rFonts w:ascii="Times New Roman" w:hAnsi="Times New Roman" w:cs="Times New Roman"/>
          <w:sz w:val="24"/>
          <w:szCs w:val="24"/>
        </w:rPr>
        <w:t>60</w:t>
      </w:r>
      <w:r w:rsidR="00ED2805" w:rsidRPr="006A316D">
        <w:rPr>
          <w:rFonts w:ascii="Times New Roman" w:hAnsi="Times New Roman" w:cs="Times New Roman"/>
          <w:sz w:val="24"/>
          <w:szCs w:val="24"/>
        </w:rPr>
        <w:t xml:space="preserve"> ay</w:t>
      </w:r>
    </w:p>
    <w:p w14:paraId="16905866" w14:textId="77777777" w:rsidR="00ED2805" w:rsidRPr="006A316D" w:rsidRDefault="00ED2805" w:rsidP="00ED2805">
      <w:pPr>
        <w:spacing w:after="0" w:line="240" w:lineRule="auto"/>
        <w:jc w:val="both"/>
        <w:rPr>
          <w:rFonts w:ascii="Times New Roman" w:hAnsi="Times New Roman" w:cs="Times New Roman"/>
          <w:sz w:val="24"/>
          <w:szCs w:val="24"/>
        </w:rPr>
      </w:pPr>
    </w:p>
    <w:p w14:paraId="3A9C0A2F" w14:textId="77777777" w:rsidR="00ED2805" w:rsidRPr="006A316D" w:rsidRDefault="00ED2805" w:rsidP="00ED2805">
      <w:pPr>
        <w:spacing w:after="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6.4 Saklamaya yönelik özel tedbirler</w:t>
      </w:r>
    </w:p>
    <w:p w14:paraId="0F3F91B5" w14:textId="77777777" w:rsidR="00ED2805" w:rsidRPr="006A316D" w:rsidRDefault="007A4668" w:rsidP="007A4668">
      <w:pPr>
        <w:spacing w:after="0" w:line="240" w:lineRule="auto"/>
        <w:ind w:left="426"/>
        <w:jc w:val="both"/>
        <w:rPr>
          <w:rFonts w:ascii="Times New Roman" w:hAnsi="Times New Roman" w:cs="Times New Roman"/>
          <w:sz w:val="24"/>
          <w:szCs w:val="24"/>
        </w:rPr>
      </w:pPr>
      <w:r w:rsidRPr="006A316D">
        <w:rPr>
          <w:rFonts w:ascii="Times New Roman" w:hAnsi="Times New Roman" w:cs="Times New Roman"/>
          <w:sz w:val="24"/>
          <w:szCs w:val="24"/>
        </w:rPr>
        <w:t>25</w:t>
      </w:r>
      <w:r w:rsidRPr="006A316D">
        <w:rPr>
          <w:rFonts w:ascii="Times New Roman" w:hAnsi="Times New Roman" w:cs="Times New Roman"/>
          <w:sz w:val="24"/>
          <w:szCs w:val="24"/>
        </w:rPr>
        <w:sym w:font="Symbol" w:char="F0B0"/>
      </w:r>
      <w:r w:rsidRPr="006A316D">
        <w:rPr>
          <w:rFonts w:ascii="Times New Roman" w:hAnsi="Times New Roman" w:cs="Times New Roman"/>
          <w:sz w:val="24"/>
          <w:szCs w:val="24"/>
        </w:rPr>
        <w:t>C’nin altındaki oda sıcaklığında sakla</w:t>
      </w:r>
      <w:r w:rsidR="006A2E25" w:rsidRPr="006A316D">
        <w:rPr>
          <w:rFonts w:ascii="Times New Roman" w:hAnsi="Times New Roman" w:cs="Times New Roman"/>
          <w:sz w:val="24"/>
          <w:szCs w:val="24"/>
        </w:rPr>
        <w:t>nmalıdır</w:t>
      </w:r>
      <w:r w:rsidRPr="006A316D">
        <w:rPr>
          <w:rFonts w:ascii="Times New Roman" w:hAnsi="Times New Roman" w:cs="Times New Roman"/>
          <w:sz w:val="24"/>
          <w:szCs w:val="24"/>
        </w:rPr>
        <w:t>.</w:t>
      </w:r>
    </w:p>
    <w:p w14:paraId="14C57E0F" w14:textId="77777777" w:rsidR="00ED2805" w:rsidRPr="006A316D" w:rsidRDefault="00ED2805" w:rsidP="00ED2805">
      <w:pPr>
        <w:spacing w:after="0" w:line="240" w:lineRule="auto"/>
        <w:jc w:val="both"/>
        <w:rPr>
          <w:rFonts w:ascii="Times New Roman" w:hAnsi="Times New Roman" w:cs="Times New Roman"/>
          <w:sz w:val="24"/>
          <w:szCs w:val="24"/>
        </w:rPr>
      </w:pPr>
    </w:p>
    <w:p w14:paraId="7781CCDA" w14:textId="77777777" w:rsidR="00ED2805" w:rsidRPr="006A316D" w:rsidRDefault="00ED2805" w:rsidP="00ED2805">
      <w:pPr>
        <w:spacing w:after="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6.</w:t>
      </w:r>
      <w:r w:rsidR="007A4668" w:rsidRPr="006A316D">
        <w:rPr>
          <w:rFonts w:ascii="Times New Roman" w:hAnsi="Times New Roman" w:cs="Times New Roman"/>
          <w:b/>
          <w:bCs/>
          <w:sz w:val="24"/>
          <w:szCs w:val="24"/>
        </w:rPr>
        <w:t>5</w:t>
      </w:r>
      <w:r w:rsidRPr="006A316D">
        <w:rPr>
          <w:rFonts w:ascii="Times New Roman" w:hAnsi="Times New Roman" w:cs="Times New Roman"/>
          <w:b/>
          <w:bCs/>
          <w:sz w:val="24"/>
          <w:szCs w:val="24"/>
        </w:rPr>
        <w:t xml:space="preserve"> Ambalajın niteliği ve içeriği</w:t>
      </w:r>
    </w:p>
    <w:p w14:paraId="1F32BEE0" w14:textId="502B13F5" w:rsidR="00E62DE9" w:rsidRPr="006A316D" w:rsidRDefault="00672485" w:rsidP="00334833">
      <w:pPr>
        <w:spacing w:after="0" w:line="240" w:lineRule="auto"/>
        <w:ind w:left="426"/>
        <w:jc w:val="both"/>
      </w:pPr>
      <w:r w:rsidRPr="006A316D">
        <w:rPr>
          <w:rFonts w:ascii="Times New Roman" w:hAnsi="Times New Roman" w:cs="Times New Roman"/>
          <w:sz w:val="24"/>
          <w:szCs w:val="24"/>
        </w:rPr>
        <w:t xml:space="preserve">PVDC/Al blister ve karton kutu ambalajdadır.  </w:t>
      </w:r>
      <w:r w:rsidR="00334833" w:rsidRPr="006A316D">
        <w:rPr>
          <w:rFonts w:ascii="Times New Roman" w:hAnsi="Times New Roman" w:cs="Times New Roman"/>
          <w:sz w:val="24"/>
          <w:szCs w:val="24"/>
        </w:rPr>
        <w:t>1,2 ve 12 kapsül içerir.</w:t>
      </w:r>
    </w:p>
    <w:p w14:paraId="1FA97D3D" w14:textId="77777777" w:rsidR="00334833" w:rsidRPr="006A316D" w:rsidRDefault="00334833" w:rsidP="00334833">
      <w:pPr>
        <w:spacing w:after="0" w:line="240" w:lineRule="auto"/>
        <w:ind w:left="426"/>
        <w:jc w:val="both"/>
        <w:rPr>
          <w:rFonts w:ascii="Times New Roman" w:hAnsi="Times New Roman" w:cs="Times New Roman"/>
          <w:sz w:val="24"/>
          <w:szCs w:val="24"/>
        </w:rPr>
      </w:pPr>
    </w:p>
    <w:p w14:paraId="78D15629" w14:textId="77777777" w:rsidR="00ED2805" w:rsidRPr="006A316D" w:rsidRDefault="00ED2805" w:rsidP="00ED2805">
      <w:pPr>
        <w:spacing w:after="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 xml:space="preserve">6.6 </w:t>
      </w:r>
      <w:r w:rsidR="00872260" w:rsidRPr="006A316D">
        <w:rPr>
          <w:rFonts w:ascii="Times New Roman" w:hAnsi="Times New Roman" w:cs="Times New Roman"/>
          <w:b/>
          <w:bCs/>
          <w:sz w:val="24"/>
          <w:szCs w:val="24"/>
        </w:rPr>
        <w:t>Beşeri t</w:t>
      </w:r>
      <w:r w:rsidRPr="006A316D">
        <w:rPr>
          <w:rFonts w:ascii="Times New Roman" w:hAnsi="Times New Roman" w:cs="Times New Roman"/>
          <w:b/>
          <w:bCs/>
          <w:sz w:val="24"/>
          <w:szCs w:val="24"/>
        </w:rPr>
        <w:t>ıbbi üründen arta kalan maddelerin imhası ve diğer özel önlemler</w:t>
      </w:r>
    </w:p>
    <w:p w14:paraId="11E36B58" w14:textId="77777777" w:rsidR="00ED2805" w:rsidRPr="006A316D" w:rsidRDefault="00ED2805" w:rsidP="007A4668">
      <w:pPr>
        <w:spacing w:after="0" w:line="240" w:lineRule="auto"/>
        <w:ind w:left="426"/>
        <w:jc w:val="both"/>
        <w:rPr>
          <w:rFonts w:ascii="Times New Roman" w:hAnsi="Times New Roman" w:cs="Times New Roman"/>
          <w:sz w:val="24"/>
          <w:szCs w:val="24"/>
        </w:rPr>
      </w:pPr>
      <w:r w:rsidRPr="006A316D">
        <w:rPr>
          <w:rFonts w:ascii="Times New Roman" w:hAnsi="Times New Roman" w:cs="Times New Roman"/>
          <w:sz w:val="24"/>
          <w:szCs w:val="24"/>
        </w:rPr>
        <w:t>Kullanılmamış olan ürünler ya da atık materyaller “Tıbbi Atıkların Kontrolü</w:t>
      </w:r>
      <w:r w:rsidR="007A4668" w:rsidRPr="006A316D">
        <w:rPr>
          <w:rFonts w:ascii="Times New Roman" w:hAnsi="Times New Roman" w:cs="Times New Roman"/>
          <w:sz w:val="24"/>
          <w:szCs w:val="24"/>
        </w:rPr>
        <w:t xml:space="preserve"> </w:t>
      </w:r>
      <w:r w:rsidRPr="006A316D">
        <w:rPr>
          <w:rFonts w:ascii="Times New Roman" w:hAnsi="Times New Roman" w:cs="Times New Roman"/>
          <w:sz w:val="24"/>
          <w:szCs w:val="24"/>
        </w:rPr>
        <w:t>Yönetmeliği” ve</w:t>
      </w:r>
      <w:r w:rsidR="007A4668" w:rsidRPr="006A316D">
        <w:rPr>
          <w:rFonts w:ascii="Times New Roman" w:hAnsi="Times New Roman" w:cs="Times New Roman"/>
          <w:sz w:val="24"/>
          <w:szCs w:val="24"/>
        </w:rPr>
        <w:t xml:space="preserve"> </w:t>
      </w:r>
      <w:r w:rsidRPr="006A316D">
        <w:rPr>
          <w:rFonts w:ascii="Times New Roman" w:hAnsi="Times New Roman" w:cs="Times New Roman"/>
          <w:sz w:val="24"/>
          <w:szCs w:val="24"/>
        </w:rPr>
        <w:t>“Ambalaj ve Ambalaj Atıklarının Kontrolü Yönetmelikleri”ne uygun olarak imha edilmelidir.</w:t>
      </w:r>
    </w:p>
    <w:p w14:paraId="5C99B99A" w14:textId="77777777" w:rsidR="00ED2805" w:rsidRPr="006A316D" w:rsidRDefault="00ED2805" w:rsidP="00ED2805">
      <w:pPr>
        <w:spacing w:after="0" w:line="240" w:lineRule="auto"/>
        <w:jc w:val="both"/>
        <w:rPr>
          <w:rFonts w:ascii="Times New Roman" w:hAnsi="Times New Roman" w:cs="Times New Roman"/>
          <w:sz w:val="24"/>
          <w:szCs w:val="24"/>
        </w:rPr>
      </w:pPr>
    </w:p>
    <w:p w14:paraId="10723059" w14:textId="77777777" w:rsidR="00ED2805" w:rsidRPr="006A316D" w:rsidRDefault="00ED2805" w:rsidP="00ED2805">
      <w:pPr>
        <w:spacing w:after="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7. RUHSAT SAHİBİ</w:t>
      </w:r>
    </w:p>
    <w:p w14:paraId="07B5934A" w14:textId="77777777" w:rsidR="007A4668" w:rsidRPr="006A316D" w:rsidRDefault="007A4668" w:rsidP="007A4668">
      <w:pPr>
        <w:tabs>
          <w:tab w:val="left" w:pos="709"/>
        </w:tabs>
        <w:spacing w:before="120" w:after="120" w:line="240" w:lineRule="auto"/>
        <w:ind w:left="426"/>
        <w:jc w:val="both"/>
        <w:rPr>
          <w:rFonts w:ascii="Times New Roman" w:eastAsia="Times New Roman" w:hAnsi="Times New Roman" w:cs="Times New Roman"/>
          <w:b/>
          <w:bCs/>
          <w:sz w:val="24"/>
          <w:szCs w:val="24"/>
          <w:lang w:eastAsia="tr-TR"/>
        </w:rPr>
      </w:pPr>
      <w:r w:rsidRPr="006A316D">
        <w:rPr>
          <w:rFonts w:ascii="Times New Roman" w:eastAsia="Times New Roman" w:hAnsi="Times New Roman" w:cs="Times New Roman"/>
          <w:b/>
          <w:bCs/>
          <w:sz w:val="24"/>
          <w:szCs w:val="24"/>
          <w:lang w:eastAsia="tr-TR"/>
        </w:rPr>
        <w:t>Adı</w:t>
      </w:r>
      <w:r w:rsidRPr="006A316D">
        <w:rPr>
          <w:rFonts w:ascii="Times New Roman" w:eastAsia="Times New Roman" w:hAnsi="Times New Roman" w:cs="Times New Roman"/>
          <w:b/>
          <w:bCs/>
          <w:sz w:val="24"/>
          <w:szCs w:val="24"/>
          <w:lang w:eastAsia="tr-TR"/>
        </w:rPr>
        <w:tab/>
        <w:t xml:space="preserve">: SANOVEL İLAÇ SAN. </w:t>
      </w:r>
      <w:r w:rsidRPr="006A316D">
        <w:rPr>
          <w:rFonts w:ascii="Times New Roman" w:eastAsia="Times New Roman" w:hAnsi="Times New Roman" w:cs="Times New Roman"/>
          <w:b/>
          <w:sz w:val="24"/>
          <w:szCs w:val="24"/>
          <w:lang w:eastAsia="tr-TR"/>
        </w:rPr>
        <w:t>VE TİC. A.Ş.</w:t>
      </w:r>
    </w:p>
    <w:p w14:paraId="5BE01FE6" w14:textId="77777777" w:rsidR="007A4668" w:rsidRPr="006A316D" w:rsidRDefault="007A4668" w:rsidP="007A4668">
      <w:pPr>
        <w:tabs>
          <w:tab w:val="left" w:pos="180"/>
          <w:tab w:val="left" w:pos="709"/>
        </w:tabs>
        <w:spacing w:before="120" w:after="120" w:line="240" w:lineRule="auto"/>
        <w:ind w:left="426"/>
        <w:jc w:val="both"/>
        <w:rPr>
          <w:rFonts w:ascii="Times New Roman" w:eastAsia="Times New Roman" w:hAnsi="Times New Roman" w:cs="Times New Roman"/>
          <w:sz w:val="24"/>
          <w:szCs w:val="24"/>
          <w:lang w:eastAsia="tr-TR"/>
        </w:rPr>
      </w:pPr>
      <w:r w:rsidRPr="006A316D">
        <w:rPr>
          <w:rFonts w:ascii="Times New Roman" w:eastAsia="Times New Roman" w:hAnsi="Times New Roman" w:cs="Times New Roman"/>
          <w:b/>
          <w:bCs/>
          <w:sz w:val="24"/>
          <w:szCs w:val="24"/>
          <w:lang w:eastAsia="tr-TR"/>
        </w:rPr>
        <w:t>Adresi</w:t>
      </w:r>
      <w:r w:rsidRPr="006A316D">
        <w:rPr>
          <w:rFonts w:ascii="Times New Roman" w:eastAsia="Times New Roman" w:hAnsi="Times New Roman" w:cs="Times New Roman"/>
          <w:b/>
          <w:bCs/>
          <w:sz w:val="24"/>
          <w:szCs w:val="24"/>
          <w:lang w:eastAsia="tr-TR"/>
        </w:rPr>
        <w:tab/>
        <w:t>:</w:t>
      </w:r>
      <w:r w:rsidRPr="006A316D">
        <w:rPr>
          <w:rFonts w:ascii="Times New Roman" w:eastAsia="Times New Roman" w:hAnsi="Times New Roman" w:cs="Times New Roman"/>
          <w:bCs/>
          <w:sz w:val="24"/>
          <w:szCs w:val="24"/>
          <w:lang w:eastAsia="tr-TR"/>
        </w:rPr>
        <w:t xml:space="preserve"> 34460 İstinye </w:t>
      </w:r>
      <w:r w:rsidRPr="006A316D">
        <w:rPr>
          <w:rFonts w:ascii="Times New Roman" w:eastAsia="Times New Roman" w:hAnsi="Times New Roman" w:cs="Times New Roman"/>
          <w:sz w:val="24"/>
          <w:szCs w:val="24"/>
          <w:lang w:eastAsia="tr-TR"/>
        </w:rPr>
        <w:t>- İstanbul</w:t>
      </w:r>
    </w:p>
    <w:p w14:paraId="4034A63A" w14:textId="77777777" w:rsidR="007A4668" w:rsidRPr="006A316D" w:rsidRDefault="007A4668" w:rsidP="007A4668">
      <w:pPr>
        <w:tabs>
          <w:tab w:val="left" w:pos="180"/>
          <w:tab w:val="left" w:pos="709"/>
          <w:tab w:val="left" w:pos="1440"/>
        </w:tabs>
        <w:spacing w:before="120" w:after="120" w:line="240" w:lineRule="auto"/>
        <w:ind w:left="426"/>
        <w:jc w:val="both"/>
        <w:rPr>
          <w:rFonts w:ascii="Times New Roman" w:eastAsia="Times New Roman" w:hAnsi="Times New Roman" w:cs="Times New Roman"/>
          <w:sz w:val="24"/>
          <w:szCs w:val="24"/>
          <w:lang w:eastAsia="tr-TR"/>
        </w:rPr>
      </w:pPr>
      <w:r w:rsidRPr="006A316D">
        <w:rPr>
          <w:rFonts w:ascii="Times New Roman" w:eastAsia="Times New Roman" w:hAnsi="Times New Roman" w:cs="Times New Roman"/>
          <w:b/>
          <w:bCs/>
          <w:sz w:val="24"/>
          <w:szCs w:val="24"/>
          <w:lang w:eastAsia="tr-TR"/>
        </w:rPr>
        <w:t>Tel</w:t>
      </w:r>
      <w:r w:rsidRPr="006A316D">
        <w:rPr>
          <w:rFonts w:ascii="Times New Roman" w:eastAsia="Times New Roman" w:hAnsi="Times New Roman" w:cs="Times New Roman"/>
          <w:b/>
          <w:bCs/>
          <w:sz w:val="24"/>
          <w:szCs w:val="24"/>
          <w:lang w:eastAsia="tr-TR"/>
        </w:rPr>
        <w:tab/>
        <w:t xml:space="preserve">: </w:t>
      </w:r>
      <w:r w:rsidRPr="006A316D">
        <w:rPr>
          <w:rFonts w:ascii="Times New Roman" w:eastAsia="Times New Roman" w:hAnsi="Times New Roman" w:cs="Times New Roman"/>
          <w:sz w:val="24"/>
          <w:szCs w:val="24"/>
          <w:lang w:eastAsia="tr-TR"/>
        </w:rPr>
        <w:t>(212) 362 18 00</w:t>
      </w:r>
    </w:p>
    <w:p w14:paraId="3ED9D996" w14:textId="77777777" w:rsidR="007A4668" w:rsidRPr="006A316D" w:rsidRDefault="007A4668" w:rsidP="007A4668">
      <w:pPr>
        <w:tabs>
          <w:tab w:val="left" w:pos="180"/>
          <w:tab w:val="left" w:pos="709"/>
          <w:tab w:val="left" w:pos="851"/>
          <w:tab w:val="left" w:pos="1440"/>
          <w:tab w:val="left" w:pos="2552"/>
        </w:tabs>
        <w:spacing w:before="120" w:after="120" w:line="240" w:lineRule="auto"/>
        <w:ind w:left="426"/>
        <w:rPr>
          <w:rFonts w:ascii="Arial" w:eastAsia="Times New Roman" w:hAnsi="Arial" w:cs="Arial"/>
          <w:sz w:val="24"/>
          <w:szCs w:val="24"/>
          <w:lang w:eastAsia="tr-TR"/>
        </w:rPr>
      </w:pPr>
      <w:r w:rsidRPr="006A316D">
        <w:rPr>
          <w:rFonts w:ascii="Times New Roman" w:eastAsia="Times New Roman" w:hAnsi="Times New Roman" w:cs="Times New Roman"/>
          <w:b/>
          <w:bCs/>
          <w:sz w:val="24"/>
          <w:szCs w:val="24"/>
          <w:lang w:eastAsia="tr-TR"/>
        </w:rPr>
        <w:t>Faks</w:t>
      </w:r>
      <w:r w:rsidRPr="006A316D">
        <w:rPr>
          <w:rFonts w:ascii="Times New Roman" w:eastAsia="Times New Roman" w:hAnsi="Times New Roman" w:cs="Times New Roman"/>
          <w:b/>
          <w:bCs/>
          <w:sz w:val="24"/>
          <w:szCs w:val="24"/>
          <w:lang w:eastAsia="tr-TR"/>
        </w:rPr>
        <w:tab/>
        <w:t xml:space="preserve">: </w:t>
      </w:r>
      <w:r w:rsidRPr="006A316D">
        <w:rPr>
          <w:rFonts w:ascii="Times New Roman" w:eastAsia="Times New Roman" w:hAnsi="Times New Roman" w:cs="Times New Roman"/>
          <w:sz w:val="24"/>
          <w:szCs w:val="24"/>
          <w:lang w:eastAsia="tr-TR"/>
        </w:rPr>
        <w:t>(212) 362 17 38</w:t>
      </w:r>
    </w:p>
    <w:p w14:paraId="467D1327" w14:textId="77777777" w:rsidR="00ED2805" w:rsidRPr="006A316D" w:rsidRDefault="00ED2805" w:rsidP="00ED2805">
      <w:pPr>
        <w:spacing w:after="0" w:line="240" w:lineRule="auto"/>
        <w:jc w:val="both"/>
        <w:rPr>
          <w:rFonts w:ascii="Times New Roman" w:hAnsi="Times New Roman" w:cs="Times New Roman"/>
          <w:sz w:val="24"/>
          <w:szCs w:val="24"/>
        </w:rPr>
      </w:pPr>
    </w:p>
    <w:p w14:paraId="475499D5" w14:textId="77777777" w:rsidR="00ED2805" w:rsidRPr="006A316D" w:rsidRDefault="00ED2805" w:rsidP="00ED2805">
      <w:pPr>
        <w:spacing w:after="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8. RUHSAT NUMARASI</w:t>
      </w:r>
    </w:p>
    <w:p w14:paraId="139E51FB" w14:textId="77777777" w:rsidR="00ED2805" w:rsidRPr="006A316D" w:rsidRDefault="007A4668" w:rsidP="007A4668">
      <w:pPr>
        <w:spacing w:after="0" w:line="240" w:lineRule="auto"/>
        <w:ind w:left="426"/>
        <w:jc w:val="both"/>
        <w:rPr>
          <w:rFonts w:ascii="Times New Roman" w:hAnsi="Times New Roman" w:cs="Times New Roman"/>
          <w:sz w:val="24"/>
          <w:szCs w:val="24"/>
        </w:rPr>
      </w:pPr>
      <w:r w:rsidRPr="006A316D">
        <w:rPr>
          <w:rFonts w:ascii="Times New Roman" w:hAnsi="Times New Roman" w:cs="Times New Roman"/>
          <w:sz w:val="24"/>
          <w:szCs w:val="24"/>
        </w:rPr>
        <w:t>163/46</w:t>
      </w:r>
    </w:p>
    <w:p w14:paraId="3BBBB63E" w14:textId="77777777" w:rsidR="00ED2805" w:rsidRPr="006A316D" w:rsidRDefault="00ED2805" w:rsidP="00ED2805">
      <w:pPr>
        <w:spacing w:after="0" w:line="240" w:lineRule="auto"/>
        <w:jc w:val="both"/>
        <w:rPr>
          <w:rFonts w:ascii="Times New Roman" w:hAnsi="Times New Roman" w:cs="Times New Roman"/>
          <w:sz w:val="24"/>
          <w:szCs w:val="24"/>
        </w:rPr>
      </w:pPr>
    </w:p>
    <w:p w14:paraId="2B4B3ADF" w14:textId="77777777" w:rsidR="00ED2805" w:rsidRPr="006A316D" w:rsidRDefault="00ED2805" w:rsidP="007A4668">
      <w:pPr>
        <w:spacing w:after="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lastRenderedPageBreak/>
        <w:t>9. İLK RUHSAT TARİHİ/RUHSAT YENİLEME TARİHİ</w:t>
      </w:r>
    </w:p>
    <w:p w14:paraId="001E4865" w14:textId="77777777" w:rsidR="00ED2805" w:rsidRPr="006A316D" w:rsidRDefault="00ED2805" w:rsidP="007A4668">
      <w:pPr>
        <w:spacing w:after="0" w:line="240" w:lineRule="auto"/>
        <w:ind w:left="426"/>
        <w:jc w:val="both"/>
        <w:rPr>
          <w:rFonts w:ascii="Times New Roman" w:hAnsi="Times New Roman" w:cs="Times New Roman"/>
          <w:sz w:val="24"/>
          <w:szCs w:val="24"/>
        </w:rPr>
      </w:pPr>
      <w:r w:rsidRPr="006A316D">
        <w:rPr>
          <w:rFonts w:ascii="Times New Roman" w:hAnsi="Times New Roman" w:cs="Times New Roman"/>
          <w:sz w:val="24"/>
          <w:szCs w:val="24"/>
        </w:rPr>
        <w:t xml:space="preserve">İlk ruhsatlandırma tarihi: </w:t>
      </w:r>
      <w:r w:rsidR="007A4668" w:rsidRPr="006A316D">
        <w:rPr>
          <w:rFonts w:ascii="Times New Roman" w:hAnsi="Times New Roman" w:cs="Times New Roman"/>
          <w:bCs/>
          <w:sz w:val="24"/>
          <w:szCs w:val="24"/>
        </w:rPr>
        <w:t>25.01.1993</w:t>
      </w:r>
    </w:p>
    <w:p w14:paraId="24CBF3D4" w14:textId="77777777" w:rsidR="00ED2805" w:rsidRPr="006A316D" w:rsidRDefault="00ED2805" w:rsidP="007A4668">
      <w:pPr>
        <w:spacing w:after="0" w:line="240" w:lineRule="auto"/>
        <w:ind w:left="426"/>
        <w:jc w:val="both"/>
        <w:rPr>
          <w:rFonts w:ascii="Times New Roman" w:hAnsi="Times New Roman" w:cs="Times New Roman"/>
          <w:sz w:val="24"/>
          <w:szCs w:val="24"/>
        </w:rPr>
      </w:pPr>
      <w:r w:rsidRPr="006A316D">
        <w:rPr>
          <w:rFonts w:ascii="Times New Roman" w:hAnsi="Times New Roman" w:cs="Times New Roman"/>
          <w:sz w:val="24"/>
          <w:szCs w:val="24"/>
        </w:rPr>
        <w:t xml:space="preserve">Son yenileme tarihi: </w:t>
      </w:r>
      <w:r w:rsidR="007A4668" w:rsidRPr="006A316D">
        <w:rPr>
          <w:rFonts w:ascii="Times New Roman" w:hAnsi="Times New Roman" w:cs="Times New Roman"/>
          <w:bCs/>
          <w:sz w:val="24"/>
          <w:szCs w:val="24"/>
        </w:rPr>
        <w:t>25.01.2003</w:t>
      </w:r>
    </w:p>
    <w:p w14:paraId="3F55DB24" w14:textId="77777777" w:rsidR="00ED2805" w:rsidRPr="006A316D" w:rsidRDefault="00ED2805" w:rsidP="00ED2805">
      <w:pPr>
        <w:spacing w:after="0" w:line="240" w:lineRule="auto"/>
        <w:jc w:val="both"/>
        <w:rPr>
          <w:rFonts w:ascii="Times New Roman" w:hAnsi="Times New Roman" w:cs="Times New Roman"/>
          <w:sz w:val="24"/>
          <w:szCs w:val="24"/>
        </w:rPr>
      </w:pPr>
    </w:p>
    <w:p w14:paraId="5BC4D51C" w14:textId="77777777" w:rsidR="00F43DD6" w:rsidRPr="006A316D" w:rsidRDefault="00ED2805" w:rsidP="00ED2805">
      <w:pPr>
        <w:spacing w:after="0" w:line="240" w:lineRule="auto"/>
        <w:jc w:val="both"/>
        <w:rPr>
          <w:rFonts w:ascii="Times New Roman" w:hAnsi="Times New Roman" w:cs="Times New Roman"/>
          <w:b/>
          <w:bCs/>
          <w:sz w:val="24"/>
          <w:szCs w:val="24"/>
        </w:rPr>
      </w:pPr>
      <w:r w:rsidRPr="006A316D">
        <w:rPr>
          <w:rFonts w:ascii="Times New Roman" w:hAnsi="Times New Roman" w:cs="Times New Roman"/>
          <w:b/>
          <w:bCs/>
          <w:sz w:val="24"/>
          <w:szCs w:val="24"/>
        </w:rPr>
        <w:t>10. KÜB’</w:t>
      </w:r>
      <w:r w:rsidR="00AF1B87" w:rsidRPr="006A316D">
        <w:rPr>
          <w:rFonts w:ascii="Times New Roman" w:hAnsi="Times New Roman" w:cs="Times New Roman"/>
          <w:b/>
          <w:bCs/>
          <w:sz w:val="24"/>
          <w:szCs w:val="24"/>
        </w:rPr>
        <w:t>ÜN</w:t>
      </w:r>
      <w:r w:rsidRPr="006A316D">
        <w:rPr>
          <w:rFonts w:ascii="Times New Roman" w:hAnsi="Times New Roman" w:cs="Times New Roman"/>
          <w:b/>
          <w:bCs/>
          <w:sz w:val="24"/>
          <w:szCs w:val="24"/>
        </w:rPr>
        <w:t xml:space="preserve"> YENİLENME TARİHİ</w:t>
      </w:r>
    </w:p>
    <w:p w14:paraId="293075A1" w14:textId="77777777" w:rsidR="00C10D86" w:rsidRPr="006A316D" w:rsidRDefault="00C10D86" w:rsidP="00ED2805">
      <w:pPr>
        <w:spacing w:after="0" w:line="240" w:lineRule="auto"/>
        <w:jc w:val="both"/>
        <w:rPr>
          <w:rFonts w:ascii="Times New Roman" w:hAnsi="Times New Roman" w:cs="Times New Roman"/>
          <w:sz w:val="24"/>
          <w:szCs w:val="24"/>
        </w:rPr>
      </w:pPr>
    </w:p>
    <w:p w14:paraId="431D6EE4" w14:textId="57780D38" w:rsidR="00ED2805" w:rsidRPr="006A316D" w:rsidRDefault="00965371" w:rsidP="007A5C1C">
      <w:pPr>
        <w:ind w:left="426"/>
        <w:jc w:val="both"/>
        <w:rPr>
          <w:rFonts w:ascii="Times New Roman" w:hAnsi="Times New Roman" w:cs="Times New Roman"/>
          <w:sz w:val="24"/>
          <w:szCs w:val="24"/>
        </w:rPr>
      </w:pPr>
      <w:r>
        <w:rPr>
          <w:rFonts w:ascii="Times New Roman" w:hAnsi="Times New Roman" w:cs="Times New Roman"/>
          <w:sz w:val="24"/>
          <w:szCs w:val="24"/>
        </w:rPr>
        <w:t>29.05.2021</w:t>
      </w:r>
    </w:p>
    <w:sectPr w:rsidR="00ED2805" w:rsidRPr="006A316D" w:rsidSect="007A4668">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2F0B" w14:textId="77777777" w:rsidR="008D6A90" w:rsidRDefault="008D6A90" w:rsidP="007A4668">
      <w:pPr>
        <w:spacing w:after="0" w:line="240" w:lineRule="auto"/>
      </w:pPr>
      <w:r>
        <w:separator/>
      </w:r>
    </w:p>
  </w:endnote>
  <w:endnote w:type="continuationSeparator" w:id="0">
    <w:p w14:paraId="6CDE7635" w14:textId="77777777" w:rsidR="008D6A90" w:rsidRDefault="008D6A90" w:rsidP="007A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452839"/>
      <w:docPartObj>
        <w:docPartGallery w:val="Page Numbers (Bottom of Page)"/>
        <w:docPartUnique/>
      </w:docPartObj>
    </w:sdtPr>
    <w:sdtEndPr/>
    <w:sdtContent>
      <w:p w14:paraId="4B37FC11" w14:textId="6C551784" w:rsidR="008D6A90" w:rsidRDefault="008D6A90">
        <w:pPr>
          <w:pStyle w:val="AltBilgi"/>
          <w:jc w:val="center"/>
        </w:pPr>
        <w:r w:rsidRPr="00896D68">
          <w:rPr>
            <w:rFonts w:ascii="Times New Roman" w:hAnsi="Times New Roman" w:cs="Times New Roman"/>
            <w:b/>
            <w:sz w:val="24"/>
          </w:rPr>
          <w:fldChar w:fldCharType="begin"/>
        </w:r>
        <w:r w:rsidRPr="00896D68">
          <w:rPr>
            <w:rFonts w:ascii="Times New Roman" w:hAnsi="Times New Roman" w:cs="Times New Roman"/>
            <w:b/>
            <w:sz w:val="24"/>
          </w:rPr>
          <w:instrText>PAGE   \* MERGEFORMAT</w:instrText>
        </w:r>
        <w:r w:rsidRPr="00896D68">
          <w:rPr>
            <w:rFonts w:ascii="Times New Roman" w:hAnsi="Times New Roman" w:cs="Times New Roman"/>
            <w:b/>
            <w:sz w:val="24"/>
          </w:rPr>
          <w:fldChar w:fldCharType="separate"/>
        </w:r>
        <w:r>
          <w:rPr>
            <w:rFonts w:ascii="Times New Roman" w:hAnsi="Times New Roman" w:cs="Times New Roman"/>
            <w:b/>
            <w:noProof/>
            <w:sz w:val="24"/>
          </w:rPr>
          <w:t>1</w:t>
        </w:r>
        <w:r w:rsidRPr="00896D68">
          <w:rPr>
            <w:rFonts w:ascii="Times New Roman" w:hAnsi="Times New Roman" w:cs="Times New Roman"/>
            <w:b/>
            <w:sz w:val="24"/>
          </w:rPr>
          <w:fldChar w:fldCharType="end"/>
        </w:r>
        <w:r>
          <w:rPr>
            <w:rFonts w:ascii="Times New Roman" w:hAnsi="Times New Roman" w:cs="Times New Roman"/>
            <w:b/>
            <w:sz w:val="24"/>
          </w:rPr>
          <w:t>/2</w:t>
        </w:r>
        <w:r w:rsidR="00855090">
          <w:rPr>
            <w:rFonts w:ascii="Times New Roman" w:hAnsi="Times New Roman" w:cs="Times New Roman"/>
            <w:b/>
            <w:sz w:val="24"/>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ECA7" w14:textId="77777777" w:rsidR="008D6A90" w:rsidRDefault="008D6A90" w:rsidP="007A4668">
      <w:pPr>
        <w:spacing w:after="0" w:line="240" w:lineRule="auto"/>
      </w:pPr>
      <w:r>
        <w:separator/>
      </w:r>
    </w:p>
  </w:footnote>
  <w:footnote w:type="continuationSeparator" w:id="0">
    <w:p w14:paraId="20DA4295" w14:textId="77777777" w:rsidR="008D6A90" w:rsidRDefault="008D6A90" w:rsidP="007A4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1C43"/>
    <w:multiLevelType w:val="hybridMultilevel"/>
    <w:tmpl w:val="D834D58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105C5302"/>
    <w:multiLevelType w:val="hybridMultilevel"/>
    <w:tmpl w:val="54743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8354A5"/>
    <w:multiLevelType w:val="hybridMultilevel"/>
    <w:tmpl w:val="D4820576"/>
    <w:lvl w:ilvl="0" w:tplc="C92E64D6">
      <w:numFmt w:val="bullet"/>
      <w:lvlText w:val="•"/>
      <w:lvlJc w:val="left"/>
      <w:pPr>
        <w:ind w:left="644" w:hanging="360"/>
      </w:pPr>
      <w:rPr>
        <w:rFonts w:ascii="Times New Roman" w:eastAsiaTheme="minorHAnsi"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3F1F5231"/>
    <w:multiLevelType w:val="hybridMultilevel"/>
    <w:tmpl w:val="F18047C2"/>
    <w:lvl w:ilvl="0" w:tplc="041F0001">
      <w:start w:val="1"/>
      <w:numFmt w:val="bullet"/>
      <w:lvlText w:val=""/>
      <w:lvlJc w:val="left"/>
      <w:pPr>
        <w:ind w:left="1724" w:hanging="360"/>
      </w:pPr>
      <w:rPr>
        <w:rFonts w:ascii="Symbol" w:hAnsi="Symbol"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4" w15:restartNumberingAfterBreak="0">
    <w:nsid w:val="53BD46F3"/>
    <w:multiLevelType w:val="hybridMultilevel"/>
    <w:tmpl w:val="4D2E4FB4"/>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DE7"/>
    <w:rsid w:val="00006FE1"/>
    <w:rsid w:val="00007589"/>
    <w:rsid w:val="00014695"/>
    <w:rsid w:val="000301FE"/>
    <w:rsid w:val="000430C7"/>
    <w:rsid w:val="00044654"/>
    <w:rsid w:val="000B4B3D"/>
    <w:rsid w:val="000C1E2C"/>
    <w:rsid w:val="000D6F0B"/>
    <w:rsid w:val="000F2451"/>
    <w:rsid w:val="00103E9E"/>
    <w:rsid w:val="00110296"/>
    <w:rsid w:val="0011277B"/>
    <w:rsid w:val="001635DB"/>
    <w:rsid w:val="00170F63"/>
    <w:rsid w:val="00171FBD"/>
    <w:rsid w:val="00174D01"/>
    <w:rsid w:val="00176030"/>
    <w:rsid w:val="0018147B"/>
    <w:rsid w:val="001B332D"/>
    <w:rsid w:val="001D46CE"/>
    <w:rsid w:val="001D7449"/>
    <w:rsid w:val="001E74BF"/>
    <w:rsid w:val="00205FD6"/>
    <w:rsid w:val="00243AF5"/>
    <w:rsid w:val="00243B5C"/>
    <w:rsid w:val="002604DD"/>
    <w:rsid w:val="0026520E"/>
    <w:rsid w:val="002A7A89"/>
    <w:rsid w:val="002B1B1C"/>
    <w:rsid w:val="002B6578"/>
    <w:rsid w:val="002B7D2D"/>
    <w:rsid w:val="002D608B"/>
    <w:rsid w:val="002E15A5"/>
    <w:rsid w:val="002F32E4"/>
    <w:rsid w:val="00302965"/>
    <w:rsid w:val="003074EC"/>
    <w:rsid w:val="00311BC0"/>
    <w:rsid w:val="00316229"/>
    <w:rsid w:val="00317542"/>
    <w:rsid w:val="00322719"/>
    <w:rsid w:val="00327826"/>
    <w:rsid w:val="00334833"/>
    <w:rsid w:val="00347429"/>
    <w:rsid w:val="00360C93"/>
    <w:rsid w:val="00370D60"/>
    <w:rsid w:val="00385BC5"/>
    <w:rsid w:val="00394228"/>
    <w:rsid w:val="003963C9"/>
    <w:rsid w:val="003E4825"/>
    <w:rsid w:val="003E5DC3"/>
    <w:rsid w:val="00405938"/>
    <w:rsid w:val="004126C4"/>
    <w:rsid w:val="00416789"/>
    <w:rsid w:val="004173C3"/>
    <w:rsid w:val="00435A2F"/>
    <w:rsid w:val="0044152C"/>
    <w:rsid w:val="00460A70"/>
    <w:rsid w:val="00461C6F"/>
    <w:rsid w:val="004857B4"/>
    <w:rsid w:val="004B6035"/>
    <w:rsid w:val="004E30DB"/>
    <w:rsid w:val="004E53AD"/>
    <w:rsid w:val="004F0CF5"/>
    <w:rsid w:val="00515048"/>
    <w:rsid w:val="005203B0"/>
    <w:rsid w:val="0052174A"/>
    <w:rsid w:val="005322E3"/>
    <w:rsid w:val="005461F4"/>
    <w:rsid w:val="00552D4C"/>
    <w:rsid w:val="00582501"/>
    <w:rsid w:val="005B491D"/>
    <w:rsid w:val="005B4B4B"/>
    <w:rsid w:val="005D5D1F"/>
    <w:rsid w:val="005F1814"/>
    <w:rsid w:val="005F38DD"/>
    <w:rsid w:val="005F6541"/>
    <w:rsid w:val="006104D8"/>
    <w:rsid w:val="00624EBB"/>
    <w:rsid w:val="00636385"/>
    <w:rsid w:val="00640B02"/>
    <w:rsid w:val="0064140A"/>
    <w:rsid w:val="00661109"/>
    <w:rsid w:val="00665BAD"/>
    <w:rsid w:val="00672485"/>
    <w:rsid w:val="0067303F"/>
    <w:rsid w:val="006872B5"/>
    <w:rsid w:val="006A2E25"/>
    <w:rsid w:val="006A316D"/>
    <w:rsid w:val="006B582C"/>
    <w:rsid w:val="006C7995"/>
    <w:rsid w:val="006F0089"/>
    <w:rsid w:val="006F13AB"/>
    <w:rsid w:val="00703BEA"/>
    <w:rsid w:val="00722AF4"/>
    <w:rsid w:val="0072683F"/>
    <w:rsid w:val="0073224E"/>
    <w:rsid w:val="007457A2"/>
    <w:rsid w:val="00746504"/>
    <w:rsid w:val="00746BA6"/>
    <w:rsid w:val="007578BA"/>
    <w:rsid w:val="00791D17"/>
    <w:rsid w:val="007A4668"/>
    <w:rsid w:val="007A5C1C"/>
    <w:rsid w:val="007C3037"/>
    <w:rsid w:val="007C3E3D"/>
    <w:rsid w:val="007D1985"/>
    <w:rsid w:val="0080750D"/>
    <w:rsid w:val="008303B6"/>
    <w:rsid w:val="00840ABD"/>
    <w:rsid w:val="00851E5D"/>
    <w:rsid w:val="00855090"/>
    <w:rsid w:val="00856637"/>
    <w:rsid w:val="00872260"/>
    <w:rsid w:val="00881AF2"/>
    <w:rsid w:val="00881E05"/>
    <w:rsid w:val="00882EA3"/>
    <w:rsid w:val="00896D68"/>
    <w:rsid w:val="00896D74"/>
    <w:rsid w:val="008A7506"/>
    <w:rsid w:val="008B2BD3"/>
    <w:rsid w:val="008C4FE4"/>
    <w:rsid w:val="008D071B"/>
    <w:rsid w:val="008D6A90"/>
    <w:rsid w:val="00900AF9"/>
    <w:rsid w:val="00910A0A"/>
    <w:rsid w:val="0091275A"/>
    <w:rsid w:val="00917256"/>
    <w:rsid w:val="00933F4B"/>
    <w:rsid w:val="00954814"/>
    <w:rsid w:val="009557A1"/>
    <w:rsid w:val="00965371"/>
    <w:rsid w:val="00973F19"/>
    <w:rsid w:val="009772B0"/>
    <w:rsid w:val="00977620"/>
    <w:rsid w:val="0098088F"/>
    <w:rsid w:val="00985FC7"/>
    <w:rsid w:val="009A4480"/>
    <w:rsid w:val="009B0C82"/>
    <w:rsid w:val="009B3FA4"/>
    <w:rsid w:val="009C388B"/>
    <w:rsid w:val="009C751E"/>
    <w:rsid w:val="009D062C"/>
    <w:rsid w:val="009D750D"/>
    <w:rsid w:val="009E5A98"/>
    <w:rsid w:val="00A118A3"/>
    <w:rsid w:val="00A32CCD"/>
    <w:rsid w:val="00A3678C"/>
    <w:rsid w:val="00A372BC"/>
    <w:rsid w:val="00A75377"/>
    <w:rsid w:val="00A81566"/>
    <w:rsid w:val="00A9121A"/>
    <w:rsid w:val="00AA15BF"/>
    <w:rsid w:val="00AB3EF3"/>
    <w:rsid w:val="00AC237F"/>
    <w:rsid w:val="00AF1B87"/>
    <w:rsid w:val="00B03B6E"/>
    <w:rsid w:val="00B144A0"/>
    <w:rsid w:val="00B31684"/>
    <w:rsid w:val="00B458FD"/>
    <w:rsid w:val="00B47A45"/>
    <w:rsid w:val="00B96050"/>
    <w:rsid w:val="00BD0D73"/>
    <w:rsid w:val="00BE2724"/>
    <w:rsid w:val="00C10D86"/>
    <w:rsid w:val="00C14C93"/>
    <w:rsid w:val="00C34213"/>
    <w:rsid w:val="00C346B1"/>
    <w:rsid w:val="00C40860"/>
    <w:rsid w:val="00C714BC"/>
    <w:rsid w:val="00CA7DA5"/>
    <w:rsid w:val="00CD5F45"/>
    <w:rsid w:val="00CD7483"/>
    <w:rsid w:val="00CE348D"/>
    <w:rsid w:val="00CF42F5"/>
    <w:rsid w:val="00D0414A"/>
    <w:rsid w:val="00D35FC0"/>
    <w:rsid w:val="00D4230E"/>
    <w:rsid w:val="00D5405B"/>
    <w:rsid w:val="00D7188B"/>
    <w:rsid w:val="00D72A1B"/>
    <w:rsid w:val="00D822C7"/>
    <w:rsid w:val="00D93DE7"/>
    <w:rsid w:val="00DA52E5"/>
    <w:rsid w:val="00DB4839"/>
    <w:rsid w:val="00DD632E"/>
    <w:rsid w:val="00E0744A"/>
    <w:rsid w:val="00E10039"/>
    <w:rsid w:val="00E24457"/>
    <w:rsid w:val="00E25AEA"/>
    <w:rsid w:val="00E40F3E"/>
    <w:rsid w:val="00E41C7B"/>
    <w:rsid w:val="00E577A7"/>
    <w:rsid w:val="00E62DE9"/>
    <w:rsid w:val="00E763F3"/>
    <w:rsid w:val="00EB3ED8"/>
    <w:rsid w:val="00EB6FD2"/>
    <w:rsid w:val="00ED2805"/>
    <w:rsid w:val="00EF1957"/>
    <w:rsid w:val="00EF43B4"/>
    <w:rsid w:val="00F22692"/>
    <w:rsid w:val="00F32EB0"/>
    <w:rsid w:val="00F43DD6"/>
    <w:rsid w:val="00F776AF"/>
    <w:rsid w:val="00F87CB3"/>
    <w:rsid w:val="00FA07AE"/>
    <w:rsid w:val="00FA6A19"/>
    <w:rsid w:val="00FC1F76"/>
    <w:rsid w:val="00FD6258"/>
    <w:rsid w:val="00FE35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372B8E"/>
  <w15:docId w15:val="{23E25BAA-A5A8-4E87-98E8-66287F19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E7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A46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4668"/>
  </w:style>
  <w:style w:type="paragraph" w:styleId="AltBilgi">
    <w:name w:val="footer"/>
    <w:basedOn w:val="Normal"/>
    <w:link w:val="AltBilgiChar"/>
    <w:uiPriority w:val="99"/>
    <w:unhideWhenUsed/>
    <w:rsid w:val="007A46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4668"/>
  </w:style>
  <w:style w:type="paragraph" w:styleId="ListeParagraf">
    <w:name w:val="List Paragraph"/>
    <w:basedOn w:val="Normal"/>
    <w:uiPriority w:val="34"/>
    <w:qFormat/>
    <w:rsid w:val="00AB3EF3"/>
    <w:pPr>
      <w:ind w:left="720"/>
      <w:contextualSpacing/>
    </w:pPr>
  </w:style>
  <w:style w:type="paragraph" w:customStyle="1" w:styleId="Default">
    <w:name w:val="Default"/>
    <w:rsid w:val="00665BAD"/>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9772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7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F1118DDE3E89F47993A6FADB788EE7D" ma:contentTypeVersion="8" ma:contentTypeDescription="Yeni belge oluşturun." ma:contentTypeScope="" ma:versionID="ba2d3847b87d63c353157fbcbbf1fded">
  <xsd:schema xmlns:xsd="http://www.w3.org/2001/XMLSchema" xmlns:xs="http://www.w3.org/2001/XMLSchema" xmlns:p="http://schemas.microsoft.com/office/2006/metadata/properties" xmlns:ns2="b63155ae-b3c0-48f9-83cf-3c2ca735b57b" xmlns:ns3="cc38dcbc-5735-4700-90b7-fe91d3b3246a" targetNamespace="http://schemas.microsoft.com/office/2006/metadata/properties" ma:root="true" ma:fieldsID="2b151f4a151342861dadadb6cb69ec8d" ns2:_="" ns3:_="">
    <xsd:import namespace="b63155ae-b3c0-48f9-83cf-3c2ca735b57b"/>
    <xsd:import namespace="cc38dcbc-5735-4700-90b7-fe91d3b324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155ae-b3c0-48f9-83cf-3c2ca735b57b"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8dcbc-5735-4700-90b7-fe91d3b324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80A3E-418B-460B-804C-A7C3FF9BC332}"/>
</file>

<file path=customXml/itemProps2.xml><?xml version="1.0" encoding="utf-8"?>
<ds:datastoreItem xmlns:ds="http://schemas.openxmlformats.org/officeDocument/2006/customXml" ds:itemID="{BD7A1480-C50E-4A3C-BD64-59F2D97A132E}"/>
</file>

<file path=customXml/itemProps3.xml><?xml version="1.0" encoding="utf-8"?>
<ds:datastoreItem xmlns:ds="http://schemas.openxmlformats.org/officeDocument/2006/customXml" ds:itemID="{7027D8EC-0775-46EA-9F76-23BA74991218}"/>
</file>

<file path=docProps/app.xml><?xml version="1.0" encoding="utf-8"?>
<Properties xmlns="http://schemas.openxmlformats.org/officeDocument/2006/extended-properties" xmlns:vt="http://schemas.openxmlformats.org/officeDocument/2006/docPropsVTypes">
  <Template>Normal</Template>
  <TotalTime>0</TotalTime>
  <Pages>24</Pages>
  <Words>8242</Words>
  <Characters>46982</Characters>
  <Application>Microsoft Office Word</Application>
  <DocSecurity>0</DocSecurity>
  <Lines>391</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Yucel DOGU</dc:creator>
  <cp:keywords/>
  <dc:description/>
  <cp:lastModifiedBy>Nilgun YILMAZ</cp:lastModifiedBy>
  <cp:revision>3</cp:revision>
  <cp:lastPrinted>2021-04-05T18:52:00Z</cp:lastPrinted>
  <dcterms:created xsi:type="dcterms:W3CDTF">2021-05-29T19:22:00Z</dcterms:created>
  <dcterms:modified xsi:type="dcterms:W3CDTF">2021-06-14T06:52:00Z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0x0101003F1118DDE3E89F47993A6FADB788EE7D</vt:lpwstr>
  </property>
  <property fmtid="{D5CDD505-2E9C-101B-9397-08002B2CF9AE}" pid="3" name="Order">
    <vt:r8>195400</vt:r8>
  </property>
</Properties>
</file>