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5CD6" w14:textId="77777777" w:rsidR="009B5AF7" w:rsidRPr="00B12A92" w:rsidRDefault="009B5AF7" w:rsidP="003C407D">
      <w:pPr>
        <w:jc w:val="both"/>
      </w:pPr>
      <w:r w:rsidRPr="00B12A92">
        <w:t>Privacy Policy</w:t>
      </w:r>
    </w:p>
    <w:p w14:paraId="168C7913" w14:textId="77777777" w:rsidR="003C407D" w:rsidRDefault="009B5AF7" w:rsidP="003C407D">
      <w:pPr>
        <w:jc w:val="both"/>
      </w:pPr>
      <w:r w:rsidRPr="00B12A92">
        <w:t xml:space="preserve">The Privacy Policy is an internal data protection policy covering employees, potential employees and former employees, and it is explicitly framed as part of the employment relationship. It explains that the document may be made available in several languages, with the English version prevailing where there is inconsistency. </w:t>
      </w:r>
    </w:p>
    <w:p w14:paraId="45204F7D" w14:textId="06556EE8" w:rsidR="009B5AF7" w:rsidRPr="00B12A92" w:rsidRDefault="009B5AF7" w:rsidP="003C407D">
      <w:pPr>
        <w:jc w:val="both"/>
      </w:pPr>
      <w:r w:rsidRPr="00B12A92">
        <w:t>The policy sets out a structured content list, including definitions, information about the company as data controller, scope, collection of personal data, purposes and legal bases for processing, categories of personal data, disclosure and international transfers, retention, data subject rights, consent and withdrawal, implications of not providing data, changes to the policy, contact details and handling of personal data breaches. This structure corresponds closely to GDPR’s emphasis on transparency, lawful bases for processing and data subject rights.</w:t>
      </w:r>
    </w:p>
    <w:p w14:paraId="706569AF" w14:textId="77777777" w:rsidR="003C407D" w:rsidRDefault="009B5AF7" w:rsidP="003C407D">
      <w:pPr>
        <w:jc w:val="both"/>
      </w:pPr>
      <w:r w:rsidRPr="00B12A92">
        <w:t xml:space="preserve">The policy defines key terms such as “personal data”, “sensitive personal data”, “processing”, “potential employee” and others largely in line with GDPR terminology and clarifies that the company is the data controller responsible for employees’ personal data. It states that the company processes personal data in accordance with applicable data protection laws and uses data only for purposes and in ways described in the policy. </w:t>
      </w:r>
    </w:p>
    <w:p w14:paraId="03964EC6" w14:textId="260D899F" w:rsidR="009B5AF7" w:rsidRPr="00B12A92" w:rsidRDefault="009B5AF7" w:rsidP="003C407D">
      <w:pPr>
        <w:jc w:val="both"/>
      </w:pPr>
      <w:r w:rsidRPr="00B12A92">
        <w:t xml:space="preserve">The scope section explains that the policy tells employees what data is collected, how it is processed, with whom it may be shared, and what rights individuals have, and clarifies that the policy supplements (but does not replace) other consents and contractual terms. For current employees the Privacy Policy forms part of the employment Terms and Conditions and prevails in case of conflict. </w:t>
      </w:r>
    </w:p>
    <w:p w14:paraId="3B4200E0" w14:textId="77777777" w:rsidR="003C407D" w:rsidRDefault="009B5AF7" w:rsidP="003C407D">
      <w:pPr>
        <w:jc w:val="both"/>
      </w:pPr>
      <w:r w:rsidRPr="00B12A92">
        <w:t>On data collection and use, the policy describes in detail the sources of personal data: directly from individuals (applications, employment contracts, communication, HR forms, health documents, participation in company initiatives), from public or third</w:t>
      </w:r>
      <w:r w:rsidRPr="00B12A92">
        <w:noBreakHyphen/>
        <w:t xml:space="preserve">party sources (authorities, recruitment agencies, social networks, referees), and from company systems (CCTV, call recording, email and device monitoring). </w:t>
      </w:r>
    </w:p>
    <w:p w14:paraId="1E080147" w14:textId="77777777" w:rsidR="003C407D" w:rsidRDefault="009B5AF7" w:rsidP="003C407D">
      <w:pPr>
        <w:jc w:val="both"/>
      </w:pPr>
      <w:r w:rsidRPr="00B12A92">
        <w:t xml:space="preserve">It lists a wide range of processing purposes and legal bases consistent with GDPR: performing the employment contract; complying with legal obligations; pursuing legitimate interests that do not override employees’ rights; and, where required, acting on consent. </w:t>
      </w:r>
    </w:p>
    <w:p w14:paraId="3858A5AC" w14:textId="6E28606C" w:rsidR="009B5AF7" w:rsidRPr="00B12A92" w:rsidRDefault="009B5AF7" w:rsidP="003C407D">
      <w:pPr>
        <w:jc w:val="both"/>
      </w:pPr>
      <w:r w:rsidRPr="00B12A92">
        <w:t xml:space="preserve">Uses include recruitment and selection, HR administration, payroll and benefits, training, performance management, business travel, internal investigations, security and fraud prevention, business operations, analytics, legal claims, regulatory reporting and business transactions. The policy clarifies that employees must ensure their data is accurate and complete, supporting data quality obligations. </w:t>
      </w:r>
    </w:p>
    <w:p w14:paraId="32C86E4B" w14:textId="77777777" w:rsidR="003C407D" w:rsidRDefault="009B5AF7" w:rsidP="003C407D">
      <w:pPr>
        <w:jc w:val="both"/>
      </w:pPr>
      <w:r w:rsidRPr="00B12A92">
        <w:lastRenderedPageBreak/>
        <w:t xml:space="preserve">The policy sets out detailed categories of personal data processed (financial, contact, contractual, professional, behavioral/technical, communications, social relationships, open data/public records, usage data, documentary data, and special categories such as health, union membership and criminal data), reflecting GDPR’s principle of transparency about data types. It describes when sensitive data may be processed, such as for employment law obligations, public interest, crime prevention and legal claims. </w:t>
      </w:r>
    </w:p>
    <w:p w14:paraId="6FA1043E" w14:textId="77777777" w:rsidR="003C407D" w:rsidRDefault="009B5AF7" w:rsidP="003C407D">
      <w:pPr>
        <w:jc w:val="both"/>
      </w:pPr>
      <w:r w:rsidRPr="00B12A92">
        <w:t>On disclosure and transfers, the policy lists potential recipients, including group companies, suppliers and service providers, banks, clients, professional advisers, authorities, former employers and others, but states that third parties must follow strict contractual and legal obligations, cannot use data for their own purposes without consent, and that the company does not sell or rent personal data or share it for third</w:t>
      </w:r>
      <w:r w:rsidRPr="00B12A92">
        <w:noBreakHyphen/>
        <w:t xml:space="preserve">party marketing. </w:t>
      </w:r>
    </w:p>
    <w:p w14:paraId="3BD8839D" w14:textId="4E3C0538" w:rsidR="009B5AF7" w:rsidRPr="00B12A92" w:rsidRDefault="009B5AF7" w:rsidP="003C407D">
      <w:pPr>
        <w:jc w:val="both"/>
      </w:pPr>
      <w:r w:rsidRPr="00B12A92">
        <w:t>For transfers outside the EEA, the policy refers to safeguards such as adequate</w:t>
      </w:r>
      <w:r w:rsidRPr="00B12A92">
        <w:noBreakHyphen/>
        <w:t>level countries, contractual protections and frameworks with equivalent protections, in line with GDPR cross</w:t>
      </w:r>
      <w:r w:rsidRPr="00B12A92">
        <w:noBreakHyphen/>
        <w:t>border transfer rules.</w:t>
      </w:r>
    </w:p>
    <w:p w14:paraId="3E67C7BD" w14:textId="77777777" w:rsidR="003C407D" w:rsidRDefault="009B5AF7" w:rsidP="003C407D">
      <w:pPr>
        <w:jc w:val="both"/>
      </w:pPr>
      <w:r w:rsidRPr="00B12A92">
        <w:t>Regarding retention, the policy states that personal data is kept while a person is a potential or actual employee and then retained for up to 10 years (or longer where law or legitimate interests justify it) for purposes like responding to complaints, demonstrating fair treatment, handling legal claims and meeting statutory record</w:t>
      </w:r>
      <w:r w:rsidRPr="00B12A92">
        <w:noBreakHyphen/>
        <w:t xml:space="preserve">keeping obligations. It notes that deletion follows an internal procedure once retention periods expire. </w:t>
      </w:r>
    </w:p>
    <w:p w14:paraId="2D92C932" w14:textId="77777777" w:rsidR="003C407D" w:rsidRDefault="009B5AF7" w:rsidP="003C407D">
      <w:pPr>
        <w:jc w:val="both"/>
      </w:pPr>
      <w:r w:rsidRPr="00B12A92">
        <w:t>Data subject rights are described in a way that maps directly to GDPR: rights of access, rectification, erasure (“right to be forgotten”), restriction, data portability, and objection. The policy explains the conditions and limitations of these rights and specifies how to contact the company (including a dedicated privacy email address) to exercise them. Consent can be requested for specific purposes and withdrawn at any time, though withdrawal may affect employment</w:t>
      </w:r>
      <w:r w:rsidRPr="00B12A92">
        <w:noBreakHyphen/>
        <w:t xml:space="preserve">related benefits or processes; the policy also explains consequences of refusing to provide personal data where it is necessary for contract or law. </w:t>
      </w:r>
    </w:p>
    <w:p w14:paraId="7932B4F1" w14:textId="2E6681EA" w:rsidR="000D1BB6" w:rsidRDefault="009B5AF7" w:rsidP="003C407D">
      <w:pPr>
        <w:jc w:val="both"/>
      </w:pPr>
      <w:r w:rsidRPr="00B12A92">
        <w:t>Finally, the policy describes procedures for reporting, documenting and notifying personal data breaches, including the obligation to notify the supervisory authority within 72 hours where required and to inform affected individuals when there is likely high risk to their rights and freedoms, which reflects GDPR’s breach notification requirements and good corporate practice.</w:t>
      </w:r>
    </w:p>
    <w:sectPr w:rsidR="000D1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F7"/>
    <w:rsid w:val="000D1BB6"/>
    <w:rsid w:val="00141DF1"/>
    <w:rsid w:val="003C407D"/>
    <w:rsid w:val="00466444"/>
    <w:rsid w:val="00766F14"/>
    <w:rsid w:val="009B5AF7"/>
    <w:rsid w:val="009B725C"/>
    <w:rsid w:val="00A4300C"/>
    <w:rsid w:val="00BD33BC"/>
    <w:rsid w:val="00BD5C0E"/>
    <w:rsid w:val="00CE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0E8F"/>
  <w15:chartTrackingRefBased/>
  <w15:docId w15:val="{B704E474-E49D-4ED5-B4E2-0C267664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AF7"/>
  </w:style>
  <w:style w:type="paragraph" w:styleId="Heading1">
    <w:name w:val="heading 1"/>
    <w:basedOn w:val="Normal"/>
    <w:next w:val="Normal"/>
    <w:link w:val="Heading1Char"/>
    <w:uiPriority w:val="9"/>
    <w:qFormat/>
    <w:rsid w:val="009B5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AF7"/>
    <w:rPr>
      <w:rFonts w:eastAsiaTheme="majorEastAsia" w:cstheme="majorBidi"/>
      <w:color w:val="272727" w:themeColor="text1" w:themeTint="D8"/>
    </w:rPr>
  </w:style>
  <w:style w:type="paragraph" w:styleId="Title">
    <w:name w:val="Title"/>
    <w:basedOn w:val="Normal"/>
    <w:next w:val="Normal"/>
    <w:link w:val="TitleChar"/>
    <w:uiPriority w:val="10"/>
    <w:qFormat/>
    <w:rsid w:val="009B5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AF7"/>
    <w:pPr>
      <w:spacing w:before="160"/>
      <w:jc w:val="center"/>
    </w:pPr>
    <w:rPr>
      <w:i/>
      <w:iCs/>
      <w:color w:val="404040" w:themeColor="text1" w:themeTint="BF"/>
    </w:rPr>
  </w:style>
  <w:style w:type="character" w:customStyle="1" w:styleId="QuoteChar">
    <w:name w:val="Quote Char"/>
    <w:basedOn w:val="DefaultParagraphFont"/>
    <w:link w:val="Quote"/>
    <w:uiPriority w:val="29"/>
    <w:rsid w:val="009B5AF7"/>
    <w:rPr>
      <w:i/>
      <w:iCs/>
      <w:color w:val="404040" w:themeColor="text1" w:themeTint="BF"/>
    </w:rPr>
  </w:style>
  <w:style w:type="paragraph" w:styleId="ListParagraph">
    <w:name w:val="List Paragraph"/>
    <w:basedOn w:val="Normal"/>
    <w:uiPriority w:val="34"/>
    <w:qFormat/>
    <w:rsid w:val="009B5AF7"/>
    <w:pPr>
      <w:ind w:left="720"/>
      <w:contextualSpacing/>
    </w:pPr>
  </w:style>
  <w:style w:type="character" w:styleId="IntenseEmphasis">
    <w:name w:val="Intense Emphasis"/>
    <w:basedOn w:val="DefaultParagraphFont"/>
    <w:uiPriority w:val="21"/>
    <w:qFormat/>
    <w:rsid w:val="009B5AF7"/>
    <w:rPr>
      <w:i/>
      <w:iCs/>
      <w:color w:val="0F4761" w:themeColor="accent1" w:themeShade="BF"/>
    </w:rPr>
  </w:style>
  <w:style w:type="paragraph" w:styleId="IntenseQuote">
    <w:name w:val="Intense Quote"/>
    <w:basedOn w:val="Normal"/>
    <w:next w:val="Normal"/>
    <w:link w:val="IntenseQuoteChar"/>
    <w:uiPriority w:val="30"/>
    <w:qFormat/>
    <w:rsid w:val="009B5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AF7"/>
    <w:rPr>
      <w:i/>
      <w:iCs/>
      <w:color w:val="0F4761" w:themeColor="accent1" w:themeShade="BF"/>
    </w:rPr>
  </w:style>
  <w:style w:type="character" w:styleId="IntenseReference">
    <w:name w:val="Intense Reference"/>
    <w:basedOn w:val="DefaultParagraphFont"/>
    <w:uiPriority w:val="32"/>
    <w:qFormat/>
    <w:rsid w:val="009B5A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Dobryanskiy</dc:creator>
  <cp:keywords/>
  <dc:description/>
  <cp:lastModifiedBy>Konstantin Dobryanskiy</cp:lastModifiedBy>
  <cp:revision>2</cp:revision>
  <dcterms:created xsi:type="dcterms:W3CDTF">2025-12-11T12:05:00Z</dcterms:created>
  <dcterms:modified xsi:type="dcterms:W3CDTF">2025-12-12T09:13:00Z</dcterms:modified>
</cp:coreProperties>
</file>