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TERM SHEET</w:t>
      </w:r>
    </w:p>
    <w:p w:rsidR="00000000" w:rsidDel="00000000" w:rsidP="00000000" w:rsidRDefault="00000000" w:rsidRPr="00000000" w14:paraId="00000002">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SERIES SEED ROUND FINANCING</w: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OF</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w:t>
      </w:r>
      <w:r w:rsidDel="00000000" w:rsidR="00000000" w:rsidRPr="00000000">
        <w:rPr>
          <w:rFonts w:ascii="Times New Roman" w:cs="Times New Roman" w:eastAsia="Times New Roman" w:hAnsi="Times New Roman"/>
          <w:b w:val="1"/>
          <w:bCs w:val="1"/>
          <w:color w:val="000000"/>
          <w:sz w:val="24"/>
          <w:szCs w:val="24"/>
          <w:highlight w:val="darkGray"/>
          <w:rtl w:val="0"/>
        </w:rPr>
        <w:t xml:space="preserve">●</w:t>
      </w:r>
      <w:r w:rsidDel="00000000" w:rsidR="00000000" w:rsidRPr="00000000">
        <w:rPr>
          <w:rFonts w:ascii="Times New Roman" w:cs="Times New Roman" w:eastAsia="Times New Roman" w:hAnsi="Times New Roman"/>
          <w:b w:val="1"/>
          <w:bCs w:val="1"/>
          <w:color w:val="000000"/>
          <w:sz w:val="24"/>
          <w:szCs w:val="24"/>
          <w:rtl w:val="0"/>
        </w:rPr>
        <w:t xml:space="preserve">] KFT</w:t>
      </w:r>
    </w:p>
    <w:p w:rsidR="00000000" w:rsidDel="00000000" w:rsidP="00000000" w:rsidRDefault="00000000" w:rsidRPr="00000000" w14:paraId="00000005">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This Term Sheet sets forth the principal terms and conditions of a proposed Series Seed round financing of [</w:t>
      </w:r>
      <w:r w:rsidDel="00000000" w:rsidR="00000000" w:rsidRPr="00000000">
        <w:rPr>
          <w:rFonts w:ascii="Times New Roman" w:cs="Times New Roman" w:eastAsia="Times New Roman" w:hAnsi="Times New Roman"/>
          <w:color w:val="000000"/>
          <w:sz w:val="24"/>
          <w:szCs w:val="24"/>
          <w:highlight w:val="darkGray"/>
          <w:rtl w:val="0"/>
        </w:rPr>
        <w:t xml:space="preserve">●</w:t>
      </w:r>
      <w:r w:rsidDel="00000000" w:rsidR="00000000" w:rsidRPr="00000000">
        <w:rPr>
          <w:rFonts w:ascii="Times New Roman" w:cs="Times New Roman" w:eastAsia="Times New Roman" w:hAnsi="Times New Roman"/>
          <w:color w:val="000000"/>
          <w:sz w:val="24"/>
          <w:szCs w:val="24"/>
          <w:rtl w:val="0"/>
        </w:rPr>
        <w:t xml:space="preserve">] Kft.</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240" w:lineRule="auto"/>
        <w:jc w:val="both"/>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Subject to the immediately following paragraph, this Term Sheet is not a commitment to invest, it is for discussion purposes only and is not intended to be, and nor shall it be construed as, a legally binding agreement. </w:t>
      </w:r>
    </w:p>
    <w:p w:rsidR="00000000" w:rsidDel="00000000" w:rsidP="00000000" w:rsidRDefault="00000000" w:rsidRPr="00000000" w14:paraId="00000007">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The following provisions of Part 3 of this Term Sheet shall be legally binding on and shall be enforceable by and upon each of the parties hereto: (1) Exclusivity; (2) Confidentiality; (3) Jurisdiction and governing law; and (4) Exclusion of representations and warranties.</w:t>
      </w:r>
    </w:p>
    <w:p w:rsidR="00000000" w:rsidDel="00000000" w:rsidP="00000000" w:rsidRDefault="00000000" w:rsidRPr="00000000" w14:paraId="00000008">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completion of the acquisition of a quota</w:t>
      </w:r>
      <w:r w:rsidDel="00000000" w:rsidR="00000000" w:rsidRPr="00000000">
        <w:rPr>
          <w:rFonts w:ascii="Times New Roman" w:cs="Times New Roman" w:eastAsia="Times New Roman" w:hAnsi="Times New Roman"/>
          <w:color w:val="000000"/>
          <w:sz w:val="24"/>
          <w:szCs w:val="24"/>
          <w:vertAlign w:val="superscript"/>
        </w:rPr>
        <w:footnoteReference w:customMarkFollows="0" w:id="0"/>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bCs w:val="1"/>
          <w:color w:val="000000"/>
          <w:sz w:val="24"/>
          <w:szCs w:val="24"/>
          <w:rtl w:val="0"/>
        </w:rPr>
        <w:t xml:space="preserve">New</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bCs w:val="1"/>
          <w:color w:val="000000"/>
          <w:sz w:val="24"/>
          <w:szCs w:val="24"/>
          <w:rtl w:val="0"/>
        </w:rPr>
        <w:t xml:space="preserve">Quota</w:t>
      </w:r>
      <w:r w:rsidDel="00000000" w:rsidR="00000000" w:rsidRPr="00000000">
        <w:rPr>
          <w:rFonts w:ascii="Times New Roman" w:cs="Times New Roman" w:eastAsia="Times New Roman" w:hAnsi="Times New Roman"/>
          <w:color w:val="000000"/>
          <w:sz w:val="24"/>
          <w:szCs w:val="24"/>
          <w:rtl w:val="0"/>
        </w:rPr>
        <w:t xml:space="preserve">”), to be created as a result of capital increase, in [</w:t>
      </w:r>
      <w:r w:rsidDel="00000000" w:rsidR="00000000" w:rsidRPr="00000000">
        <w:rPr>
          <w:rFonts w:ascii="Times New Roman" w:cs="Times New Roman" w:eastAsia="Times New Roman" w:hAnsi="Times New Roman"/>
          <w:color w:val="000000"/>
          <w:sz w:val="24"/>
          <w:szCs w:val="24"/>
          <w:highlight w:val="darkGray"/>
          <w:rtl w:val="0"/>
        </w:rPr>
        <w:t xml:space="preserve">●</w:t>
      </w:r>
      <w:r w:rsidDel="00000000" w:rsidR="00000000" w:rsidRPr="00000000">
        <w:rPr>
          <w:rFonts w:ascii="Times New Roman" w:cs="Times New Roman" w:eastAsia="Times New Roman" w:hAnsi="Times New Roman"/>
          <w:color w:val="000000"/>
          <w:sz w:val="24"/>
          <w:szCs w:val="24"/>
          <w:rtl w:val="0"/>
        </w:rPr>
        <w:t xml:space="preserve">] KFT (the “</w:t>
      </w:r>
      <w:r w:rsidDel="00000000" w:rsidR="00000000" w:rsidRPr="00000000">
        <w:rPr>
          <w:rFonts w:ascii="Times New Roman" w:cs="Times New Roman" w:eastAsia="Times New Roman" w:hAnsi="Times New Roman"/>
          <w:b w:val="1"/>
          <w:bCs w:val="1"/>
          <w:color w:val="000000"/>
          <w:sz w:val="24"/>
          <w:szCs w:val="24"/>
          <w:rtl w:val="0"/>
        </w:rPr>
        <w:t xml:space="preserve">Company</w:t>
      </w:r>
      <w:r w:rsidDel="00000000" w:rsidR="00000000" w:rsidRPr="00000000">
        <w:rPr>
          <w:rFonts w:ascii="Times New Roman" w:cs="Times New Roman" w:eastAsia="Times New Roman" w:hAnsi="Times New Roman"/>
          <w:color w:val="000000"/>
          <w:sz w:val="24"/>
          <w:szCs w:val="24"/>
          <w:rtl w:val="0"/>
        </w:rPr>
        <w:t xml:space="preserve">”) by the Investor(s) (as defined below) (the ("</w:t>
      </w:r>
      <w:r w:rsidDel="00000000" w:rsidR="00000000" w:rsidRPr="00000000">
        <w:rPr>
          <w:rFonts w:ascii="Times New Roman" w:cs="Times New Roman" w:eastAsia="Times New Roman" w:hAnsi="Times New Roman"/>
          <w:b w:val="1"/>
          <w:bCs w:val="1"/>
          <w:color w:val="000000"/>
          <w:sz w:val="24"/>
          <w:szCs w:val="24"/>
          <w:rtl w:val="0"/>
        </w:rPr>
        <w:t xml:space="preserve">Completion</w:t>
      </w:r>
      <w:r w:rsidDel="00000000" w:rsidR="00000000" w:rsidRPr="00000000">
        <w:rPr>
          <w:rFonts w:ascii="Times New Roman" w:cs="Times New Roman" w:eastAsia="Times New Roman" w:hAnsi="Times New Roman"/>
          <w:color w:val="000000"/>
          <w:sz w:val="24"/>
          <w:szCs w:val="24"/>
          <w:rtl w:val="0"/>
        </w:rPr>
        <w:t xml:space="preserve">") will be subject to, among other things, satisfactory completion of financial and legal due diligence by the Investor(s), as well as the negotiation and execution of legally binding investment documents acceptable to each of the parties hereto ("</w:t>
      </w:r>
      <w:r w:rsidDel="00000000" w:rsidR="00000000" w:rsidRPr="00000000">
        <w:rPr>
          <w:rFonts w:ascii="Times New Roman" w:cs="Times New Roman" w:eastAsia="Times New Roman" w:hAnsi="Times New Roman"/>
          <w:b w:val="1"/>
          <w:bCs w:val="1"/>
          <w:color w:val="000000"/>
          <w:sz w:val="24"/>
          <w:szCs w:val="24"/>
          <w:rtl w:val="0"/>
        </w:rPr>
        <w:t xml:space="preserve">Definitive Documents</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09">
      <w:pPr>
        <w:keepNext w:val="1"/>
        <w:numPr>
          <w:ilvl w:val="0"/>
          <w:numId w:val="7"/>
        </w:numPr>
        <w:pBdr>
          <w:top w:space="0" w:sz="0" w:val="nil"/>
          <w:left w:space="0" w:sz="0" w:val="nil"/>
          <w:bottom w:space="0" w:sz="0" w:val="nil"/>
          <w:right w:space="0" w:sz="0" w:val="nil"/>
          <w:between w:space="0" w:sz="0" w:val="nil"/>
        </w:pBdr>
        <w:spacing w:after="240" w:before="0" w:line="240" w:lineRule="auto"/>
        <w:ind w:left="720" w:hanging="720"/>
        <w:jc w:val="both"/>
        <w:rPr>
          <w:rFonts w:ascii="Times New Roman" w:cs="Times New Roman" w:eastAsia="Times New Roman" w:hAnsi="Times New Roman"/>
          <w:b w:val="1"/>
          <w:bCs w:val="1"/>
          <w:smallCaps w:val="1"/>
          <w:color w:val="000000"/>
          <w:sz w:val="24"/>
          <w:szCs w:val="24"/>
        </w:rPr>
      </w:pPr>
      <w:r w:rsidDel="00000000" w:rsidR="00000000" w:rsidRPr="00000000">
        <w:rPr>
          <w:rFonts w:ascii="Times New Roman" w:cs="Times New Roman" w:eastAsia="Times New Roman" w:hAnsi="Times New Roman"/>
          <w:b w:val="1"/>
          <w:bCs w:val="1"/>
          <w:smallCaps w:val="1"/>
          <w:color w:val="000000"/>
          <w:sz w:val="24"/>
          <w:szCs w:val="24"/>
          <w:rtl w:val="0"/>
        </w:rPr>
        <w:t xml:space="preserve">PRINCIPAL </w:t>
      </w:r>
      <w:r w:rsidDel="00000000" w:rsidR="00000000" w:rsidRPr="00000000">
        <w:rPr>
          <w:rFonts w:ascii="Times New Roman" w:cs="Times New Roman" w:eastAsia="Times New Roman" w:hAnsi="Times New Roman"/>
          <w:b w:val="1"/>
          <w:bCs w:val="1"/>
          <w:smallCaps w:val="1"/>
          <w:sz w:val="24"/>
          <w:szCs w:val="24"/>
          <w:rtl w:val="0"/>
        </w:rPr>
        <w:t xml:space="preserve">TRANSACTION </w:t>
      </w:r>
      <w:r w:rsidDel="00000000" w:rsidR="00000000" w:rsidRPr="00000000">
        <w:rPr>
          <w:rFonts w:ascii="Times New Roman" w:cs="Times New Roman" w:eastAsia="Times New Roman" w:hAnsi="Times New Roman"/>
          <w:b w:val="1"/>
          <w:bCs w:val="1"/>
          <w:smallCaps w:val="1"/>
          <w:color w:val="000000"/>
          <w:sz w:val="24"/>
          <w:szCs w:val="24"/>
          <w:rtl w:val="0"/>
        </w:rPr>
        <w:t xml:space="preserve">TERMS</w:t>
      </w:r>
    </w:p>
    <w:tbl>
      <w:tblPr>
        <w:tblStyle w:val="Table1"/>
        <w:tblW w:w="9214.0" w:type="dxa"/>
        <w:jc w:val="left"/>
        <w:tblLayout w:type="fixed"/>
        <w:tblLook w:val="0000"/>
      </w:tblPr>
      <w:tblGrid>
        <w:gridCol w:w="2660"/>
        <w:gridCol w:w="6554"/>
        <w:tblGridChange w:id="0">
          <w:tblGrid>
            <w:gridCol w:w="2660"/>
            <w:gridCol w:w="6554"/>
          </w:tblGrid>
        </w:tblGridChange>
      </w:tblGrid>
      <w:tr>
        <w:trPr>
          <w:cantSplit w:val="0"/>
          <w:tblHeader w:val="0"/>
        </w:trPr>
        <w:tc>
          <w:tcPr/>
          <w:p w:rsidR="00000000" w:rsidDel="00000000" w:rsidP="00000000" w:rsidRDefault="00000000" w:rsidRPr="00000000" w14:paraId="0000000A">
            <w:pPr>
              <w:pBdr>
                <w:top w:space="0" w:sz="0" w:val="nil"/>
                <w:left w:space="0" w:sz="0" w:val="nil"/>
                <w:bottom w:space="0" w:sz="0" w:val="nil"/>
                <w:right w:space="0" w:sz="0" w:val="nil"/>
                <w:between w:space="0" w:sz="0" w:val="nil"/>
              </w:pBd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Founder[s]</w:t>
            </w:r>
          </w:p>
        </w:tc>
        <w:tc>
          <w:tcPr/>
          <w:p w:rsidR="00000000" w:rsidDel="00000000" w:rsidP="00000000" w:rsidRDefault="00000000" w:rsidRPr="00000000" w14:paraId="0000000B">
            <w:pPr>
              <w:numPr>
                <w:ilvl w:val="0"/>
                <w:numId w:val="5"/>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highlight w:val="darkGray"/>
                <w:rtl w:val="0"/>
              </w:rPr>
              <w:t xml:space="preserve">[name]</w:t>
            </w:r>
            <w:r w:rsidDel="00000000" w:rsidR="00000000" w:rsidRPr="00000000">
              <w:rPr>
                <w:rFonts w:ascii="Times New Roman" w:cs="Times New Roman" w:eastAsia="Times New Roman" w:hAnsi="Times New Roman"/>
                <w:color w:val="000000"/>
                <w:sz w:val="24"/>
                <w:szCs w:val="24"/>
                <w:rtl w:val="0"/>
              </w:rPr>
              <w:t xml:space="preserve"> (the "</w:t>
            </w:r>
            <w:r w:rsidDel="00000000" w:rsidR="00000000" w:rsidRPr="00000000">
              <w:rPr>
                <w:rFonts w:ascii="Times New Roman" w:cs="Times New Roman" w:eastAsia="Times New Roman" w:hAnsi="Times New Roman"/>
                <w:b w:val="1"/>
                <w:bCs w:val="1"/>
                <w:color w:val="000000"/>
                <w:sz w:val="24"/>
                <w:szCs w:val="24"/>
                <w:rtl w:val="0"/>
              </w:rPr>
              <w:t xml:space="preserve">Founder 1</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0C">
            <w:pPr>
              <w:numPr>
                <w:ilvl w:val="0"/>
                <w:numId w:val="5"/>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[name] (the "</w:t>
            </w:r>
            <w:r w:rsidDel="00000000" w:rsidR="00000000" w:rsidRPr="00000000">
              <w:rPr>
                <w:rFonts w:ascii="Times New Roman" w:cs="Times New Roman" w:eastAsia="Times New Roman" w:hAnsi="Times New Roman"/>
                <w:b w:val="1"/>
                <w:bCs w:val="1"/>
                <w:color w:val="000000"/>
                <w:sz w:val="24"/>
                <w:szCs w:val="24"/>
                <w:rtl w:val="0"/>
              </w:rPr>
              <w:t xml:space="preserve">Founder 2</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0D">
            <w:pPr>
              <w:numPr>
                <w:ilvl w:val="0"/>
                <w:numId w:val="5"/>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darkGray"/>
                <w:rtl w:val="0"/>
              </w:rPr>
              <w:t xml:space="preserve">[Additional Founder]</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0E">
            <w:pPr>
              <w:pBdr>
                <w:top w:space="0" w:sz="0" w:val="nil"/>
                <w:left w:space="0" w:sz="0" w:val="nil"/>
                <w:bottom w:space="0" w:sz="0" w:val="nil"/>
                <w:right w:space="0" w:sz="0" w:val="nil"/>
                <w:between w:space="0" w:sz="0" w:val="nil"/>
              </w:pBdr>
              <w:ind w:firstLine="76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(collectively the “</w:t>
            </w:r>
            <w:r w:rsidDel="00000000" w:rsidR="00000000" w:rsidRPr="00000000">
              <w:rPr>
                <w:rFonts w:ascii="Times New Roman" w:cs="Times New Roman" w:eastAsia="Times New Roman" w:hAnsi="Times New Roman"/>
                <w:b w:val="1"/>
                <w:bCs w:val="1"/>
                <w:color w:val="000000"/>
                <w:sz w:val="24"/>
                <w:szCs w:val="24"/>
                <w:rtl w:val="0"/>
              </w:rPr>
              <w:t xml:space="preserve">Founders</w:t>
            </w:r>
            <w:r w:rsidDel="00000000" w:rsidR="00000000" w:rsidRPr="00000000">
              <w:rPr>
                <w:rFonts w:ascii="Times New Roman" w:cs="Times New Roman" w:eastAsia="Times New Roman" w:hAnsi="Times New Roman"/>
                <w:color w:val="000000"/>
                <w:sz w:val="24"/>
                <w:szCs w:val="24"/>
                <w:rtl w:val="0"/>
              </w:rPr>
              <w:t xml:space="preserve">” and each a “</w:t>
            </w:r>
            <w:r w:rsidDel="00000000" w:rsidR="00000000" w:rsidRPr="00000000">
              <w:rPr>
                <w:rFonts w:ascii="Times New Roman" w:cs="Times New Roman" w:eastAsia="Times New Roman" w:hAnsi="Times New Roman"/>
                <w:b w:val="1"/>
                <w:bCs w:val="1"/>
                <w:color w:val="000000"/>
                <w:sz w:val="24"/>
                <w:szCs w:val="24"/>
                <w:rtl w:val="0"/>
              </w:rPr>
              <w:t xml:space="preserve">Founder</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00F">
            <w:pPr>
              <w:pBdr>
                <w:top w:space="0" w:sz="0" w:val="nil"/>
                <w:left w:space="0" w:sz="0" w:val="nil"/>
                <w:bottom w:space="0" w:sz="0" w:val="nil"/>
                <w:right w:space="0" w:sz="0" w:val="nil"/>
                <w:between w:space="0" w:sz="0" w:val="nil"/>
              </w:pBd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Investor[s]</w:t>
            </w:r>
          </w:p>
        </w:tc>
        <w:tc>
          <w:tcPr/>
          <w:p w:rsidR="00000000" w:rsidDel="00000000" w:rsidP="00000000" w:rsidRDefault="00000000" w:rsidRPr="00000000" w14:paraId="00000010">
            <w:pPr>
              <w:numPr>
                <w:ilvl w:val="0"/>
                <w:numId w:val="5"/>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highlight w:val="darkGray"/>
                <w:rtl w:val="0"/>
              </w:rPr>
              <w:t xml:space="preserve">[name]</w:t>
            </w:r>
            <w:r w:rsidDel="00000000" w:rsidR="00000000" w:rsidRPr="00000000">
              <w:rPr>
                <w:rFonts w:ascii="Times New Roman" w:cs="Times New Roman" w:eastAsia="Times New Roman" w:hAnsi="Times New Roman"/>
                <w:color w:val="000000"/>
                <w:sz w:val="24"/>
                <w:szCs w:val="24"/>
                <w:rtl w:val="0"/>
              </w:rPr>
              <w:t xml:space="preserve"> (the " </w:t>
            </w:r>
            <w:r w:rsidDel="00000000" w:rsidR="00000000" w:rsidRPr="00000000">
              <w:rPr>
                <w:rFonts w:ascii="Times New Roman" w:cs="Times New Roman" w:eastAsia="Times New Roman" w:hAnsi="Times New Roman"/>
                <w:b w:val="1"/>
                <w:bCs w:val="1"/>
                <w:color w:val="000000"/>
                <w:sz w:val="24"/>
                <w:szCs w:val="24"/>
                <w:rtl w:val="0"/>
              </w:rPr>
              <w:t xml:space="preserve">Investor</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11">
            <w:pPr>
              <w:numPr>
                <w:ilvl w:val="0"/>
                <w:numId w:val="5"/>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highlight w:val="darkGray"/>
                <w:rtl w:val="0"/>
              </w:rPr>
              <w:t xml:space="preserve">Additional Investor</w:t>
            </w:r>
            <w:r w:rsidDel="00000000" w:rsidR="00000000" w:rsidRPr="00000000">
              <w:rPr>
                <w:rFonts w:ascii="Times New Roman" w:cs="Times New Roman" w:eastAsia="Times New Roman" w:hAnsi="Times New Roman"/>
                <w:color w:val="000000"/>
                <w:sz w:val="24"/>
                <w:szCs w:val="24"/>
                <w:rtl w:val="0"/>
              </w:rPr>
              <w:t xml:space="preserve">]; (collectively the “Investors”)</w:t>
            </w:r>
          </w:p>
        </w:tc>
      </w:tr>
      <w:tr>
        <w:trPr>
          <w:cantSplit w:val="0"/>
          <w:tblHeader w:val="0"/>
        </w:trPr>
        <w:tc>
          <w:tcPr/>
          <w:p w:rsidR="00000000" w:rsidDel="00000000" w:rsidP="00000000" w:rsidRDefault="00000000" w:rsidRPr="00000000" w14:paraId="00000012">
            <w:pPr>
              <w:pBdr>
                <w:top w:space="0" w:sz="0" w:val="nil"/>
                <w:left w:space="0" w:sz="0" w:val="nil"/>
                <w:bottom w:space="0" w:sz="0" w:val="nil"/>
                <w:right w:space="0" w:sz="0" w:val="nil"/>
                <w:between w:space="0" w:sz="0" w:val="nil"/>
              </w:pBd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Investment Amount</w:t>
            </w:r>
          </w:p>
        </w:tc>
        <w:tc>
          <w:tcPr/>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Investor proposes to invest EUR [</w:t>
            </w:r>
            <w:r w:rsidDel="00000000" w:rsidR="00000000" w:rsidRPr="00000000">
              <w:rPr>
                <w:rFonts w:ascii="Times New Roman" w:cs="Times New Roman" w:eastAsia="Times New Roman" w:hAnsi="Times New Roman"/>
                <w:color w:val="000000"/>
                <w:sz w:val="24"/>
                <w:szCs w:val="24"/>
                <w:highlight w:val="darkGray"/>
                <w:rtl w:val="0"/>
              </w:rPr>
              <w:t xml:space="preserve">●</w:t>
            </w:r>
            <w:r w:rsidDel="00000000" w:rsidR="00000000" w:rsidRPr="00000000">
              <w:rPr>
                <w:rFonts w:ascii="Times New Roman" w:cs="Times New Roman" w:eastAsia="Times New Roman" w:hAnsi="Times New Roman"/>
                <w:color w:val="000000"/>
                <w:sz w:val="24"/>
                <w:szCs w:val="24"/>
                <w:rtl w:val="0"/>
              </w:rPr>
              <w:t xml:space="preserve">] at Completion / and it is agreed that the total permitted investment amount by all Investors</w:t>
            </w:r>
            <w:r w:rsidDel="00000000" w:rsidR="00000000" w:rsidRPr="00000000">
              <w:rPr>
                <w:rFonts w:ascii="Times New Roman" w:cs="Times New Roman" w:eastAsia="Times New Roman" w:hAnsi="Times New Roman"/>
                <w:color w:val="000000"/>
                <w:sz w:val="24"/>
                <w:szCs w:val="24"/>
                <w:vertAlign w:val="superscript"/>
              </w:rPr>
              <w:footnoteReference w:customMarkFollows="0" w:id="1"/>
            </w:r>
            <w:r w:rsidDel="00000000" w:rsidR="00000000" w:rsidRPr="00000000">
              <w:rPr>
                <w:rFonts w:ascii="Times New Roman" w:cs="Times New Roman" w:eastAsia="Times New Roman" w:hAnsi="Times New Roman"/>
                <w:color w:val="000000"/>
                <w:sz w:val="24"/>
                <w:szCs w:val="24"/>
                <w:rtl w:val="0"/>
              </w:rPr>
              <w:t xml:space="preserve"> will be EUR [●] ("</w:t>
            </w:r>
            <w:r w:rsidDel="00000000" w:rsidR="00000000" w:rsidRPr="00000000">
              <w:rPr>
                <w:rFonts w:ascii="Times New Roman" w:cs="Times New Roman" w:eastAsia="Times New Roman" w:hAnsi="Times New Roman"/>
                <w:b w:val="1"/>
                <w:bCs w:val="1"/>
                <w:color w:val="000000"/>
                <w:sz w:val="24"/>
                <w:szCs w:val="24"/>
                <w:rtl w:val="0"/>
              </w:rPr>
              <w:t xml:space="preserve">Investment</w:t>
            </w:r>
            <w:r w:rsidDel="00000000" w:rsidR="00000000" w:rsidRPr="00000000">
              <w:rPr>
                <w:rFonts w:ascii="Times New Roman" w:cs="Times New Roman" w:eastAsia="Times New Roman" w:hAnsi="Times New Roman"/>
                <w:color w:val="000000"/>
                <w:sz w:val="24"/>
                <w:szCs w:val="24"/>
                <w:rtl w:val="0"/>
              </w:rPr>
              <w:t xml:space="preserve">"), on and subject to the terms of the Definitive Documents (as defined below).</w:t>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Investment will be at a fully diluted pre-money valuation of EUR [</w:t>
            </w:r>
            <w:r w:rsidDel="00000000" w:rsidR="00000000" w:rsidRPr="00000000">
              <w:rPr>
                <w:rFonts w:ascii="Times New Roman" w:cs="Times New Roman" w:eastAsia="Times New Roman" w:hAnsi="Times New Roman"/>
                <w:color w:val="000000"/>
                <w:sz w:val="24"/>
                <w:szCs w:val="24"/>
                <w:highlight w:val="darkGray"/>
                <w:rtl w:val="0"/>
              </w:rPr>
              <w:t xml:space="preserve">●</w:t>
            </w:r>
            <w:r w:rsidDel="00000000" w:rsidR="00000000" w:rsidRPr="00000000">
              <w:rPr>
                <w:rFonts w:ascii="Times New Roman" w:cs="Times New Roman" w:eastAsia="Times New Roman" w:hAnsi="Times New Roman"/>
                <w:color w:val="000000"/>
                <w:sz w:val="24"/>
                <w:szCs w:val="24"/>
                <w:rtl w:val="0"/>
              </w:rPr>
              <w:t xml:space="preserve">], including employee options equal to [</w:t>
            </w:r>
            <w:r w:rsidDel="00000000" w:rsidR="00000000" w:rsidRPr="00000000">
              <w:rPr>
                <w:rFonts w:ascii="Times New Roman" w:cs="Times New Roman" w:eastAsia="Times New Roman" w:hAnsi="Times New Roman"/>
                <w:color w:val="000000"/>
                <w:sz w:val="24"/>
                <w:szCs w:val="24"/>
                <w:highlight w:val="darkGray"/>
                <w:rtl w:val="0"/>
              </w:rPr>
              <w:t xml:space="preserve">●</w:t>
            </w:r>
            <w:r w:rsidDel="00000000" w:rsidR="00000000" w:rsidRPr="00000000">
              <w:rPr>
                <w:rFonts w:ascii="Times New Roman" w:cs="Times New Roman" w:eastAsia="Times New Roman" w:hAnsi="Times New Roman"/>
                <w:color w:val="000000"/>
                <w:sz w:val="24"/>
                <w:szCs w:val="24"/>
                <w:rtl w:val="0"/>
              </w:rPr>
              <w:t xml:space="preserve">] % of the [fully diluted post-money equity of the Company/equity of the Company immediately following Completion/equity of the Company immediately prior to Completion].</w:t>
            </w:r>
          </w:p>
        </w:tc>
      </w:tr>
      <w:tr>
        <w:trPr>
          <w:cantSplit w:val="0"/>
          <w:tblHeader w:val="0"/>
        </w:trPr>
        <w:tc>
          <w:tcPr/>
          <w:p w:rsidR="00000000" w:rsidDel="00000000" w:rsidP="00000000" w:rsidRDefault="00000000" w:rsidRPr="00000000" w14:paraId="00000015">
            <w:pPr>
              <w:pBdr>
                <w:top w:space="0" w:sz="0" w:val="nil"/>
                <w:left w:space="0" w:sz="0" w:val="nil"/>
                <w:bottom w:space="0" w:sz="0" w:val="nil"/>
                <w:right w:space="0" w:sz="0" w:val="nil"/>
                <w:between w:space="0" w:sz="0" w:val="nil"/>
              </w:pBd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Capitalisation</w:t>
            </w:r>
          </w:p>
        </w:tc>
        <w:tc>
          <w:tcPr/>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current capitalisation of the Company and the effect of the Investment are set out in the capitalisation table contained in </w:t>
            </w:r>
            <w:r w:rsidDel="00000000" w:rsidR="00000000" w:rsidRPr="00000000">
              <w:rPr>
                <w:rFonts w:ascii="Times New Roman" w:cs="Times New Roman" w:eastAsia="Times New Roman" w:hAnsi="Times New Roman"/>
                <w:color w:val="000000"/>
                <w:sz w:val="24"/>
                <w:szCs w:val="24"/>
                <w:u w:val="single"/>
                <w:rtl w:val="0"/>
              </w:rPr>
              <w:t xml:space="preserve">Schedule 1</w:t>
            </w:r>
            <w:r w:rsidDel="00000000" w:rsidR="00000000" w:rsidRPr="00000000">
              <w:rPr>
                <w:rFonts w:ascii="Times New Roman" w:cs="Times New Roman" w:eastAsia="Times New Roman" w:hAnsi="Times New Roman"/>
                <w:color w:val="000000"/>
                <w:sz w:val="24"/>
                <w:szCs w:val="24"/>
                <w:rtl w:val="0"/>
              </w:rPr>
              <w:t xml:space="preserve">.</w:t>
            </w:r>
          </w:p>
        </w:tc>
      </w:tr>
      <w:tr>
        <w:trPr>
          <w:cantSplit w:val="0"/>
          <w:tblHeader w:val="0"/>
        </w:trPr>
        <w:tc>
          <w:tcPr/>
          <w:p w:rsidR="00000000" w:rsidDel="00000000" w:rsidP="00000000" w:rsidRDefault="00000000" w:rsidRPr="00000000" w14:paraId="00000017">
            <w:pPr>
              <w:pBdr>
                <w:top w:space="0" w:sz="0" w:val="nil"/>
                <w:left w:space="0" w:sz="0" w:val="nil"/>
                <w:bottom w:space="0" w:sz="0" w:val="nil"/>
                <w:right w:space="0" w:sz="0" w:val="nil"/>
                <w:between w:space="0" w:sz="0" w:val="nil"/>
              </w:pBd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Documentation</w:t>
            </w:r>
          </w:p>
        </w:tc>
        <w:tc>
          <w:tcPr/>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[Investor’s/Company’s] legal advisors shall prepare the first drafts of the agreements and other documents necessary to document the matters and transactions contemplated in this Term Sheet (the "</w:t>
            </w:r>
            <w:r w:rsidDel="00000000" w:rsidR="00000000" w:rsidRPr="00000000">
              <w:rPr>
                <w:rFonts w:ascii="Times New Roman" w:cs="Times New Roman" w:eastAsia="Times New Roman" w:hAnsi="Times New Roman"/>
                <w:b w:val="1"/>
                <w:bCs w:val="1"/>
                <w:color w:val="000000"/>
                <w:sz w:val="24"/>
                <w:szCs w:val="24"/>
                <w:rtl w:val="0"/>
              </w:rPr>
              <w:t xml:space="preserve">Definitive Documents</w:t>
            </w:r>
            <w:r w:rsidDel="00000000" w:rsidR="00000000" w:rsidRPr="00000000">
              <w:rPr>
                <w:rFonts w:ascii="Times New Roman" w:cs="Times New Roman" w:eastAsia="Times New Roman" w:hAnsi="Times New Roman"/>
                <w:color w:val="000000"/>
                <w:sz w:val="24"/>
                <w:szCs w:val="24"/>
                <w:rtl w:val="0"/>
              </w:rPr>
              <w:t xml:space="preserve">"). The Definitive Documents shall include: (1) an Investment and Quotaholders’ Agreement to be entered into between the Company, the Investor[s], the Founder[s] and each of the other existing quotaholders of the Company; (2) new Articles of Association of the Company; (3) new employment/service agreements; and (4) IP assignment agreements (if necessary).</w:t>
            </w:r>
          </w:p>
        </w:tc>
      </w:tr>
      <w:tr>
        <w:trPr>
          <w:cantSplit w:val="0"/>
          <w:tblHeader w:val="0"/>
        </w:trPr>
        <w:tc>
          <w:tcPr>
            <w:gridSpan w:val="2"/>
          </w:tcPr>
          <w:p w:rsidR="00000000" w:rsidDel="00000000" w:rsidP="00000000" w:rsidRDefault="00000000" w:rsidRPr="00000000" w14:paraId="00000019">
            <w:pPr>
              <w:keepNext w:val="1"/>
              <w:numPr>
                <w:ilvl w:val="0"/>
                <w:numId w:val="7"/>
              </w:numPr>
              <w:pBdr>
                <w:top w:space="0" w:sz="0" w:val="nil"/>
                <w:left w:space="0" w:sz="0" w:val="nil"/>
                <w:bottom w:space="0" w:sz="0" w:val="nil"/>
                <w:right w:space="0" w:sz="0" w:val="nil"/>
                <w:between w:space="0" w:sz="0" w:val="nil"/>
              </w:pBdr>
              <w:spacing w:after="240" w:before="0" w:line="240" w:lineRule="auto"/>
              <w:ind w:left="720" w:hanging="720"/>
              <w:jc w:val="both"/>
              <w:rPr>
                <w:rFonts w:ascii="Times New Roman" w:cs="Times New Roman" w:eastAsia="Times New Roman" w:hAnsi="Times New Roman"/>
                <w:b w:val="1"/>
                <w:bCs w:val="1"/>
                <w:smallCaps w:val="1"/>
                <w:color w:val="000000"/>
                <w:sz w:val="24"/>
                <w:szCs w:val="24"/>
              </w:rPr>
            </w:pPr>
            <w:r w:rsidDel="00000000" w:rsidR="00000000" w:rsidRPr="00000000">
              <w:rPr>
                <w:rFonts w:ascii="Times New Roman" w:cs="Times New Roman" w:eastAsia="Times New Roman" w:hAnsi="Times New Roman"/>
                <w:b w:val="1"/>
                <w:bCs w:val="1"/>
                <w:smallCaps w:val="1"/>
                <w:color w:val="000000"/>
                <w:sz w:val="24"/>
                <w:szCs w:val="24"/>
                <w:rtl w:val="0"/>
              </w:rPr>
              <w:t xml:space="preserve">T</w:t>
            </w:r>
            <w:r w:rsidDel="00000000" w:rsidR="00000000" w:rsidRPr="00000000">
              <w:rPr>
                <w:rFonts w:ascii="Times New Roman" w:cs="Times New Roman" w:eastAsia="Times New Roman" w:hAnsi="Times New Roman"/>
                <w:b w:val="1"/>
                <w:bCs w:val="1"/>
                <w:smallCaps w:val="1"/>
                <w:sz w:val="24"/>
                <w:szCs w:val="24"/>
                <w:rtl w:val="0"/>
              </w:rPr>
              <w:t xml:space="preserve">ERMS OF </w:t>
            </w:r>
            <w:r w:rsidDel="00000000" w:rsidR="00000000" w:rsidRPr="00000000">
              <w:rPr>
                <w:rFonts w:ascii="Times New Roman" w:cs="Times New Roman" w:eastAsia="Times New Roman" w:hAnsi="Times New Roman"/>
                <w:b w:val="1"/>
                <w:bCs w:val="1"/>
                <w:smallCaps w:val="1"/>
                <w:color w:val="000000"/>
                <w:sz w:val="24"/>
                <w:szCs w:val="24"/>
                <w:rtl w:val="0"/>
              </w:rPr>
              <w:t xml:space="preserve"> </w:t>
            </w:r>
            <w:r w:rsidDel="00000000" w:rsidR="00000000" w:rsidRPr="00000000">
              <w:rPr>
                <w:rFonts w:ascii="Times New Roman" w:cs="Times New Roman" w:eastAsia="Times New Roman" w:hAnsi="Times New Roman"/>
                <w:b w:val="1"/>
                <w:bCs w:val="1"/>
                <w:smallCaps w:val="1"/>
                <w:sz w:val="24"/>
                <w:szCs w:val="24"/>
                <w:rtl w:val="0"/>
              </w:rPr>
              <w:t xml:space="preserve">INVESTMENT AND </w:t>
            </w:r>
            <w:r w:rsidDel="00000000" w:rsidR="00000000" w:rsidRPr="00000000">
              <w:rPr>
                <w:rFonts w:ascii="Times New Roman" w:cs="Times New Roman" w:eastAsia="Times New Roman" w:hAnsi="Times New Roman"/>
                <w:b w:val="1"/>
                <w:bCs w:val="1"/>
                <w:smallCaps w:val="1"/>
                <w:color w:val="000000"/>
                <w:sz w:val="24"/>
                <w:szCs w:val="24"/>
                <w:rtl w:val="0"/>
              </w:rPr>
              <w:t xml:space="preserve"> I</w:t>
            </w:r>
            <w:r w:rsidDel="00000000" w:rsidR="00000000" w:rsidRPr="00000000">
              <w:rPr>
                <w:rFonts w:ascii="Times New Roman" w:cs="Times New Roman" w:eastAsia="Times New Roman" w:hAnsi="Times New Roman"/>
                <w:b w:val="1"/>
                <w:bCs w:val="1"/>
                <w:smallCaps w:val="1"/>
                <w:sz w:val="24"/>
                <w:szCs w:val="24"/>
                <w:rtl w:val="0"/>
              </w:rPr>
              <w:t xml:space="preserve">NVESTOR</w:t>
            </w:r>
            <w:r w:rsidDel="00000000" w:rsidR="00000000" w:rsidRPr="00000000">
              <w:rPr>
                <w:rFonts w:ascii="Times New Roman" w:cs="Times New Roman" w:eastAsia="Times New Roman" w:hAnsi="Times New Roman"/>
                <w:b w:val="1"/>
                <w:bCs w:val="1"/>
                <w:smallCaps w:val="1"/>
                <w:color w:val="000000"/>
                <w:sz w:val="24"/>
                <w:szCs w:val="24"/>
                <w:rtl w:val="0"/>
              </w:rPr>
              <w:t xml:space="preserve">’</w:t>
            </w:r>
            <w:r w:rsidDel="00000000" w:rsidR="00000000" w:rsidRPr="00000000">
              <w:rPr>
                <w:rFonts w:ascii="Times New Roman" w:cs="Times New Roman" w:eastAsia="Times New Roman" w:hAnsi="Times New Roman"/>
                <w:b w:val="1"/>
                <w:bCs w:val="1"/>
                <w:smallCaps w:val="1"/>
                <w:sz w:val="24"/>
                <w:szCs w:val="24"/>
                <w:rtl w:val="0"/>
              </w:rPr>
              <w:t xml:space="preserve">S</w:t>
            </w:r>
            <w:r w:rsidDel="00000000" w:rsidR="00000000" w:rsidRPr="00000000">
              <w:rPr>
                <w:rFonts w:ascii="Times New Roman" w:cs="Times New Roman" w:eastAsia="Times New Roman" w:hAnsi="Times New Roman"/>
                <w:b w:val="1"/>
                <w:bCs w:val="1"/>
                <w:smallCaps w:val="1"/>
                <w:color w:val="000000"/>
                <w:sz w:val="24"/>
                <w:szCs w:val="24"/>
                <w:rtl w:val="0"/>
              </w:rPr>
              <w:t xml:space="preserve"> R</w:t>
            </w:r>
            <w:r w:rsidDel="00000000" w:rsidR="00000000" w:rsidRPr="00000000">
              <w:rPr>
                <w:rFonts w:ascii="Times New Roman" w:cs="Times New Roman" w:eastAsia="Times New Roman" w:hAnsi="Times New Roman"/>
                <w:b w:val="1"/>
                <w:bCs w:val="1"/>
                <w:smallCaps w:val="1"/>
                <w:sz w:val="24"/>
                <w:szCs w:val="24"/>
                <w:rtl w:val="0"/>
              </w:rPr>
              <w:t xml:space="preserve">IGHTS</w:t>
            </w:r>
            <w:r w:rsidDel="00000000" w:rsidR="00000000" w:rsidRPr="00000000">
              <w:rPr>
                <w:rtl w:val="0"/>
              </w:rPr>
            </w:r>
          </w:p>
        </w:tc>
      </w:tr>
      <w:tr>
        <w:trPr>
          <w:cantSplit w:val="0"/>
          <w:tblHeader w:val="0"/>
        </w:trPr>
        <w:tc>
          <w:tcPr/>
          <w:p w:rsidR="00000000" w:rsidDel="00000000" w:rsidP="00000000" w:rsidRDefault="00000000" w:rsidRPr="00000000" w14:paraId="0000001B">
            <w:pPr>
              <w:pBdr>
                <w:top w:space="0" w:sz="0" w:val="nil"/>
                <w:left w:space="0" w:sz="0" w:val="nil"/>
                <w:bottom w:space="0" w:sz="0" w:val="nil"/>
                <w:right w:space="0" w:sz="0" w:val="nil"/>
                <w:between w:space="0" w:sz="0" w:val="nil"/>
              </w:pBd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Voting rights</w:t>
            </w:r>
          </w:p>
        </w:tc>
        <w:tc>
          <w:tcPr/>
          <w:p w:rsidR="00000000" w:rsidDel="00000000" w:rsidP="00000000" w:rsidRDefault="00000000" w:rsidRPr="00000000" w14:paraId="0000001C">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Subject to the voting rules applicable to the reserved matters set out in </w:t>
            </w:r>
            <w:r w:rsidDel="00000000" w:rsidR="00000000" w:rsidRPr="00000000">
              <w:rPr>
                <w:rFonts w:ascii="Times New Roman" w:cs="Times New Roman" w:eastAsia="Times New Roman" w:hAnsi="Times New Roman"/>
                <w:color w:val="000000"/>
                <w:sz w:val="24"/>
                <w:szCs w:val="24"/>
                <w:u w:val="single"/>
                <w:rtl w:val="0"/>
              </w:rPr>
              <w:t xml:space="preserve">Schedule 2</w:t>
            </w:r>
            <w:r w:rsidDel="00000000" w:rsidR="00000000" w:rsidRPr="00000000">
              <w:rPr>
                <w:rFonts w:ascii="Times New Roman" w:cs="Times New Roman" w:eastAsia="Times New Roman" w:hAnsi="Times New Roman"/>
                <w:color w:val="000000"/>
                <w:sz w:val="24"/>
                <w:szCs w:val="24"/>
                <w:rtl w:val="0"/>
              </w:rPr>
              <w:t xml:space="preserve">, the Investor[s] has voting rights pro rata to its shareholding in the Company.</w:t>
            </w:r>
          </w:p>
        </w:tc>
      </w:tr>
      <w:tr>
        <w:trPr>
          <w:cantSplit w:val="0"/>
          <w:tblHeader w:val="0"/>
        </w:trPr>
        <w:tc>
          <w:tcPr/>
          <w:p w:rsidR="00000000" w:rsidDel="00000000" w:rsidP="00000000" w:rsidRDefault="00000000" w:rsidRPr="00000000" w14:paraId="0000001D">
            <w:pPr>
              <w:pBdr>
                <w:top w:space="0" w:sz="0" w:val="nil"/>
                <w:left w:space="0" w:sz="0" w:val="nil"/>
                <w:bottom w:space="0" w:sz="0" w:val="nil"/>
                <w:right w:space="0" w:sz="0" w:val="nil"/>
                <w:between w:space="0" w:sz="0" w:val="nil"/>
              </w:pBd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Liquidation preference</w:t>
            </w:r>
          </w:p>
        </w:tc>
        <w:tc>
          <w:tcPr/>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Investor[s] will have 1x non-participating liquidation preference.</w:t>
            </w:r>
          </w:p>
        </w:tc>
      </w:tr>
      <w:tr>
        <w:trPr>
          <w:cantSplit w:val="0"/>
          <w:tblHeader w:val="0"/>
        </w:trPr>
        <w:tc>
          <w:tcPr/>
          <w:p w:rsidR="00000000" w:rsidDel="00000000" w:rsidP="00000000" w:rsidRDefault="00000000" w:rsidRPr="00000000" w14:paraId="0000001F">
            <w:pPr>
              <w:pBdr>
                <w:top w:space="0" w:sz="0" w:val="nil"/>
                <w:left w:space="0" w:sz="0" w:val="nil"/>
                <w:bottom w:space="0" w:sz="0" w:val="nil"/>
                <w:right w:space="0" w:sz="0" w:val="nil"/>
                <w:between w:space="0" w:sz="0" w:val="nil"/>
              </w:pBdr>
              <w:rPr>
                <w:rFonts w:ascii="Times New Roman" w:cs="Times New Roman" w:eastAsia="Times New Roman" w:hAnsi="Times New Roman"/>
                <w:b w:val="1"/>
                <w:bCs w:val="1"/>
                <w:color w:val="000000"/>
                <w:sz w:val="24"/>
                <w:szCs w:val="24"/>
                <w:highlight w:val="lightGray"/>
              </w:rPr>
            </w:pPr>
            <w:r w:rsidDel="00000000" w:rsidR="00000000" w:rsidRPr="00000000">
              <w:rPr>
                <w:rFonts w:ascii="Times New Roman" w:cs="Times New Roman" w:eastAsia="Times New Roman" w:hAnsi="Times New Roman"/>
                <w:b w:val="1"/>
                <w:bCs w:val="1"/>
                <w:color w:val="000000"/>
                <w:sz w:val="24"/>
                <w:szCs w:val="24"/>
                <w:rtl w:val="0"/>
              </w:rPr>
              <w:t xml:space="preserve">Anti-dilution protection</w:t>
            </w:r>
            <w:r w:rsidDel="00000000" w:rsidR="00000000" w:rsidRPr="00000000">
              <w:rPr>
                <w:rtl w:val="0"/>
              </w:rPr>
            </w:r>
          </w:p>
        </w:tc>
        <w:tc>
          <w:tcPr>
            <w:shd w:fill="auto" w:val="clear"/>
          </w:tcPr>
          <w:p w:rsidR="00000000" w:rsidDel="00000000" w:rsidP="00000000" w:rsidRDefault="00000000" w:rsidRPr="00000000" w14:paraId="00000020">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Investor[s] will have broad-based weighted-average anti-dilution protection in the case of a capital increase/equity investment (regardless the form thereof) carried out following Completion at a valuation lower than the valuation contemplated under this Term Sheet.</w:t>
            </w:r>
          </w:p>
          <w:p w:rsidR="00000000" w:rsidDel="00000000" w:rsidP="00000000" w:rsidRDefault="00000000" w:rsidRPr="00000000" w14:paraId="00000021">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CP2 = CP1 * (A+B) ÷ (A+C)</w:t>
            </w:r>
          </w:p>
          <w:p w:rsidR="00000000" w:rsidDel="00000000" w:rsidP="00000000" w:rsidRDefault="00000000" w:rsidRPr="00000000" w14:paraId="00000022">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CP2 = Conversion price after down round</w:t>
            </w:r>
          </w:p>
          <w:p w:rsidR="00000000" w:rsidDel="00000000" w:rsidP="00000000" w:rsidRDefault="00000000" w:rsidRPr="00000000" w14:paraId="00000023">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CP1 = Conversion price before down round</w:t>
            </w:r>
          </w:p>
          <w:p w:rsidR="00000000" w:rsidDel="00000000" w:rsidP="00000000" w:rsidRDefault="00000000" w:rsidRPr="00000000" w14:paraId="00000024">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 Fully-diluted capitalization of the Company prior to the down round, including the assumed exercise of outstanding options, but not giving effect to any securities converting in the down round</w:t>
            </w:r>
          </w:p>
          <w:p w:rsidR="00000000" w:rsidDel="00000000" w:rsidP="00000000" w:rsidRDefault="00000000" w:rsidRPr="00000000" w14:paraId="00000025">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 Total consideration received by the Company in the down round divided by CP1</w:t>
            </w:r>
          </w:p>
          <w:p w:rsidR="00000000" w:rsidDel="00000000" w:rsidP="00000000" w:rsidRDefault="00000000" w:rsidRPr="00000000" w14:paraId="00000026">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highlight w:val="lightGray"/>
              </w:rPr>
            </w:pPr>
            <w:r w:rsidDel="00000000" w:rsidR="00000000" w:rsidRPr="00000000">
              <w:rPr>
                <w:rFonts w:ascii="Times New Roman" w:cs="Times New Roman" w:eastAsia="Times New Roman" w:hAnsi="Times New Roman"/>
                <w:color w:val="000000"/>
                <w:sz w:val="24"/>
                <w:szCs w:val="24"/>
                <w:rtl w:val="0"/>
              </w:rPr>
              <w:t xml:space="preserve">C = quota issued in the down round</w:t>
            </w:r>
            <w:r w:rsidDel="00000000" w:rsidR="00000000" w:rsidRPr="00000000">
              <w:rPr>
                <w:rtl w:val="0"/>
              </w:rPr>
            </w:r>
          </w:p>
        </w:tc>
      </w:tr>
      <w:tr>
        <w:trPr>
          <w:cantSplit w:val="0"/>
          <w:tblHeader w:val="0"/>
        </w:trPr>
        <w:tc>
          <w:tcPr/>
          <w:p w:rsidR="00000000" w:rsidDel="00000000" w:rsidP="00000000" w:rsidRDefault="00000000" w:rsidRPr="00000000" w14:paraId="00000027">
            <w:pPr>
              <w:pBdr>
                <w:top w:space="0" w:sz="0" w:val="nil"/>
                <w:left w:space="0" w:sz="0" w:val="nil"/>
                <w:bottom w:space="0" w:sz="0" w:val="nil"/>
                <w:right w:space="0" w:sz="0" w:val="nil"/>
                <w:between w:space="0" w:sz="0" w:val="nil"/>
              </w:pBd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Dividend rights:</w:t>
            </w:r>
          </w:p>
        </w:tc>
        <w:tc>
          <w:tcPr>
            <w:shd w:fill="auto" w:val="clear"/>
          </w:tcPr>
          <w:p w:rsidR="00000000" w:rsidDel="00000000" w:rsidP="00000000" w:rsidRDefault="00000000" w:rsidRPr="00000000" w14:paraId="00000028">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Investor[s] shall have no prior right to dividends. However, any dividend may only be declared in respect of all (and not only some of the) quotaholders.]</w:t>
            </w:r>
          </w:p>
        </w:tc>
      </w:tr>
      <w:tr>
        <w:trPr>
          <w:cantSplit w:val="0"/>
          <w:tblHeader w:val="0"/>
        </w:trPr>
        <w:tc>
          <w:tcPr/>
          <w:p w:rsidR="00000000" w:rsidDel="00000000" w:rsidP="00000000" w:rsidRDefault="00000000" w:rsidRPr="00000000" w14:paraId="00000029">
            <w:pPr>
              <w:pBdr>
                <w:top w:space="0" w:sz="0" w:val="nil"/>
                <w:left w:space="0" w:sz="0" w:val="nil"/>
                <w:bottom w:space="0" w:sz="0" w:val="nil"/>
                <w:right w:space="0" w:sz="0" w:val="nil"/>
                <w:between w:space="0" w:sz="0" w:val="nil"/>
              </w:pBd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Reserved matters</w:t>
            </w:r>
          </w:p>
        </w:tc>
        <w:tc>
          <w:tcPr/>
          <w:p w:rsidR="00000000" w:rsidDel="00000000" w:rsidP="00000000" w:rsidRDefault="00000000" w:rsidRPr="00000000" w14:paraId="0000002A">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approval of the Investor[s] representing more than [50%] of the total equity held by such holders of the New Quota[s] (the “</w:t>
            </w:r>
            <w:r w:rsidDel="00000000" w:rsidR="00000000" w:rsidRPr="00000000">
              <w:rPr>
                <w:rFonts w:ascii="Times New Roman" w:cs="Times New Roman" w:eastAsia="Times New Roman" w:hAnsi="Times New Roman"/>
                <w:b w:val="1"/>
                <w:bCs w:val="1"/>
                <w:color w:val="000000"/>
                <w:sz w:val="24"/>
                <w:szCs w:val="24"/>
                <w:rtl w:val="0"/>
              </w:rPr>
              <w:t xml:space="preserve">Investor Majority</w:t>
            </w:r>
            <w:r w:rsidDel="00000000" w:rsidR="00000000" w:rsidRPr="00000000">
              <w:rPr>
                <w:rFonts w:ascii="Times New Roman" w:cs="Times New Roman" w:eastAsia="Times New Roman" w:hAnsi="Times New Roman"/>
                <w:color w:val="000000"/>
                <w:sz w:val="24"/>
                <w:szCs w:val="24"/>
                <w:rtl w:val="0"/>
              </w:rPr>
              <w:t xml:space="preserve">”)] will be required for certain material decisions, examples of which are set out in </w:t>
            </w:r>
            <w:r w:rsidDel="00000000" w:rsidR="00000000" w:rsidRPr="00000000">
              <w:rPr>
                <w:rFonts w:ascii="Times New Roman" w:cs="Times New Roman" w:eastAsia="Times New Roman" w:hAnsi="Times New Roman"/>
                <w:color w:val="000000"/>
                <w:sz w:val="24"/>
                <w:szCs w:val="24"/>
                <w:u w:val="single"/>
                <w:rtl w:val="0"/>
              </w:rPr>
              <w:t xml:space="preserve">Schedule 2</w:t>
            </w:r>
            <w:r w:rsidDel="00000000" w:rsidR="00000000" w:rsidRPr="00000000">
              <w:rPr>
                <w:rFonts w:ascii="Times New Roman" w:cs="Times New Roman" w:eastAsia="Times New Roman" w:hAnsi="Times New Roman"/>
                <w:color w:val="000000"/>
                <w:sz w:val="24"/>
                <w:szCs w:val="24"/>
                <w:rtl w:val="0"/>
              </w:rPr>
              <w:t xml:space="preserve"> to this Term Sheet.</w:t>
            </w:r>
          </w:p>
        </w:tc>
      </w:tr>
      <w:tr>
        <w:trPr>
          <w:cantSplit w:val="0"/>
          <w:tblHeader w:val="0"/>
        </w:trPr>
        <w:tc>
          <w:tcPr/>
          <w:p w:rsidR="00000000" w:rsidDel="00000000" w:rsidP="00000000" w:rsidRDefault="00000000" w:rsidRPr="00000000" w14:paraId="0000002B">
            <w:pPr>
              <w:pBdr>
                <w:top w:space="0" w:sz="0" w:val="nil"/>
                <w:left w:space="0" w:sz="0" w:val="nil"/>
                <w:bottom w:space="0" w:sz="0" w:val="nil"/>
                <w:right w:space="0" w:sz="0" w:val="nil"/>
                <w:between w:space="0" w:sz="0" w:val="nil"/>
              </w:pBd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Pre-emption</w:t>
            </w:r>
          </w:p>
        </w:tc>
        <w:tc>
          <w:tcPr/>
          <w:p w:rsidR="00000000" w:rsidDel="00000000" w:rsidP="00000000" w:rsidRDefault="00000000" w:rsidRPr="00000000" w14:paraId="0000002C">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rtl w:val="0"/>
              </w:rPr>
              <w:t xml:space="preserve">All quotaholders will have a right, pro rata to their shareholdings, to participate in any (a) capital increase of the Company and (b) issuance of options (except options under option pool), convertible loans, convertible notes and other instruments giving their holders the right to acquire new quotas of the Company (through conversion, exercise or otherwise). </w:t>
            </w:r>
            <w:r w:rsidDel="00000000" w:rsidR="00000000" w:rsidRPr="00000000">
              <w:rPr>
                <w:rtl w:val="0"/>
              </w:rPr>
            </w:r>
          </w:p>
        </w:tc>
      </w:tr>
      <w:tr>
        <w:trPr>
          <w:cantSplit w:val="0"/>
          <w:tblHeader w:val="0"/>
        </w:trPr>
        <w:tc>
          <w:tcPr/>
          <w:p w:rsidR="00000000" w:rsidDel="00000000" w:rsidP="00000000" w:rsidRDefault="00000000" w:rsidRPr="00000000" w14:paraId="0000002D">
            <w:pPr>
              <w:pBdr>
                <w:top w:space="0" w:sz="0" w:val="nil"/>
                <w:left w:space="0" w:sz="0" w:val="nil"/>
                <w:bottom w:space="0" w:sz="0" w:val="nil"/>
                <w:right w:space="0" w:sz="0" w:val="nil"/>
                <w:between w:space="0" w:sz="0" w:val="nil"/>
              </w:pBd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Right of first refusal </w:t>
            </w:r>
          </w:p>
        </w:tc>
        <w:tc>
          <w:tcPr/>
          <w:p w:rsidR="00000000" w:rsidDel="00000000" w:rsidP="00000000" w:rsidRDefault="00000000" w:rsidRPr="00000000" w14:paraId="0000002E">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rtl w:val="0"/>
              </w:rPr>
              <w:t xml:space="preserve">The Company, the Investor[s] and the Founder[s] in that order  will have a right to acquire any quotas of the Company which are proposed to be transferred.</w:t>
            </w:r>
            <w:r w:rsidDel="00000000" w:rsidR="00000000" w:rsidRPr="00000000">
              <w:rPr>
                <w:rtl w:val="0"/>
              </w:rPr>
            </w:r>
          </w:p>
        </w:tc>
      </w:tr>
      <w:tr>
        <w:trPr>
          <w:cantSplit w:val="0"/>
          <w:tblHeader w:val="0"/>
        </w:trPr>
        <w:tc>
          <w:tcPr/>
          <w:p w:rsidR="00000000" w:rsidDel="00000000" w:rsidP="00000000" w:rsidRDefault="00000000" w:rsidRPr="00000000" w14:paraId="0000002F">
            <w:pPr>
              <w:pBdr>
                <w:top w:space="0" w:sz="0" w:val="nil"/>
                <w:left w:space="0" w:sz="0" w:val="nil"/>
                <w:bottom w:space="0" w:sz="0" w:val="nil"/>
                <w:right w:space="0" w:sz="0" w:val="nil"/>
                <w:between w:space="0" w:sz="0" w:val="nil"/>
              </w:pBd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Co-sale</w:t>
            </w:r>
          </w:p>
        </w:tc>
        <w:tc>
          <w:tcPr/>
          <w:p w:rsidR="00000000" w:rsidDel="00000000" w:rsidP="00000000" w:rsidRDefault="00000000" w:rsidRPr="00000000" w14:paraId="00000030">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Investor[s] will have co-sale right such that if [any of the] Founder[s] wishes to sell a portion of its quota representing not less than [●]% of the total equity, the Investor[s] must be given the opportunity to sell a pro rata percentage of its shareholding on the same terms and at the same price.</w:t>
            </w:r>
          </w:p>
        </w:tc>
      </w:tr>
      <w:tr>
        <w:trPr>
          <w:cantSplit w:val="0"/>
          <w:tblHeader w:val="0"/>
        </w:trPr>
        <w:tc>
          <w:tcPr/>
          <w:p w:rsidR="00000000" w:rsidDel="00000000" w:rsidP="00000000" w:rsidRDefault="00000000" w:rsidRPr="00000000" w14:paraId="00000031">
            <w:pPr>
              <w:pBdr>
                <w:top w:space="0" w:sz="0" w:val="nil"/>
                <w:left w:space="0" w:sz="0" w:val="nil"/>
                <w:bottom w:space="0" w:sz="0" w:val="nil"/>
                <w:right w:space="0" w:sz="0" w:val="nil"/>
                <w:between w:space="0" w:sz="0" w:val="nil"/>
              </w:pBd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Drag-along</w:t>
            </w:r>
          </w:p>
        </w:tc>
        <w:tc>
          <w:tcPr/>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Any transfer of quotas that would result in 50% or more of the outstanding voting rights of the Company being transferred to a </w:t>
            </w:r>
            <w:r w:rsidDel="00000000" w:rsidR="00000000" w:rsidRPr="00000000">
              <w:rPr>
                <w:rFonts w:ascii="Times New Roman" w:cs="Times New Roman" w:eastAsia="Times New Roman" w:hAnsi="Times New Roman"/>
                <w:color w:val="000000"/>
                <w:sz w:val="24"/>
                <w:szCs w:val="24"/>
                <w:rtl w:val="0"/>
              </w:rPr>
              <w:t xml:space="preserve">bone fide third party </w:t>
            </w:r>
            <w:r w:rsidDel="00000000" w:rsidR="00000000" w:rsidRPr="00000000">
              <w:rPr>
                <w:rFonts w:ascii="Times New Roman" w:cs="Times New Roman" w:eastAsia="Times New Roman" w:hAnsi="Times New Roman"/>
                <w:color w:val="000000"/>
                <w:sz w:val="24"/>
                <w:szCs w:val="24"/>
                <w:rtl w:val="0"/>
              </w:rPr>
              <w:t xml:space="preserve">person other than the Investor shall trigger an obligation on the proposed transferee to make an offer (a "</w:t>
            </w:r>
            <w:r w:rsidDel="00000000" w:rsidR="00000000" w:rsidRPr="00000000">
              <w:rPr>
                <w:rFonts w:ascii="Times New Roman" w:cs="Times New Roman" w:eastAsia="Times New Roman" w:hAnsi="Times New Roman"/>
                <w:b w:val="1"/>
                <w:bCs w:val="1"/>
                <w:color w:val="000000"/>
                <w:sz w:val="24"/>
                <w:szCs w:val="24"/>
                <w:rtl w:val="0"/>
              </w:rPr>
              <w:t xml:space="preserve">General Offer</w:t>
            </w:r>
            <w:r w:rsidDel="00000000" w:rsidR="00000000" w:rsidRPr="00000000">
              <w:rPr>
                <w:rFonts w:ascii="Times New Roman" w:cs="Times New Roman" w:eastAsia="Times New Roman" w:hAnsi="Times New Roman"/>
                <w:color w:val="000000"/>
                <w:sz w:val="24"/>
                <w:szCs w:val="24"/>
                <w:rtl w:val="0"/>
              </w:rPr>
              <w:t xml:space="preserve">") for all quotas of the Company. The Definitive Documents will provide for a General Offer to be made on like terms to each quotaholder save for certain standard provisions including, inter alia, that the proceeds of such General Offer (should one be made and accepted in accordance with the relevant provisions) shall be divided amongst all of the quotaholders of the Company in accordance with paragraph </w:t>
            </w:r>
            <w:r w:rsidDel="00000000" w:rsidR="00000000" w:rsidRPr="00000000">
              <w:rPr>
                <w:rFonts w:ascii="Times New Roman" w:cs="Times New Roman" w:eastAsia="Times New Roman" w:hAnsi="Times New Roman"/>
                <w:i w:val="1"/>
                <w:iCs w:val="1"/>
                <w:color w:val="000000"/>
                <w:sz w:val="24"/>
                <w:szCs w:val="24"/>
                <w:rtl w:val="0"/>
              </w:rPr>
              <w:t xml:space="preserve">Liquidation preference</w:t>
            </w:r>
            <w:r w:rsidDel="00000000" w:rsidR="00000000" w:rsidRPr="00000000">
              <w:rPr>
                <w:rFonts w:ascii="Times New Roman" w:cs="Times New Roman" w:eastAsia="Times New Roman" w:hAnsi="Times New Roman"/>
                <w:color w:val="000000"/>
                <w:sz w:val="24"/>
                <w:szCs w:val="24"/>
                <w:rtl w:val="0"/>
              </w:rPr>
              <w:t xml:space="preserve"> of this Term Sheet and the Investor shall only be required to provide warranties as to title to the New Quota and its capacity to enter into the relevant documents.</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If a General Offer is made and accepted by:</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240" w:lineRule="auto"/>
              <w:ind w:left="720" w:hanging="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w:t>
              <w:tab/>
              <w:t xml:space="preserve">the holders of quotas representing [</w:t>
            </w:r>
            <w:r w:rsidDel="00000000" w:rsidR="00000000" w:rsidRPr="00000000">
              <w:rPr>
                <w:rFonts w:ascii="Times New Roman" w:cs="Times New Roman" w:eastAsia="Times New Roman" w:hAnsi="Times New Roman"/>
                <w:color w:val="000000"/>
                <w:sz w:val="24"/>
                <w:szCs w:val="24"/>
                <w:highlight w:val="darkGray"/>
                <w:rtl w:val="0"/>
              </w:rPr>
              <w:t xml:space="preserve">●</w:t>
            </w:r>
            <w:r w:rsidDel="00000000" w:rsidR="00000000" w:rsidRPr="00000000">
              <w:rPr>
                <w:rFonts w:ascii="Times New Roman" w:cs="Times New Roman" w:eastAsia="Times New Roman" w:hAnsi="Times New Roman"/>
                <w:color w:val="000000"/>
                <w:sz w:val="24"/>
                <w:szCs w:val="24"/>
                <w:rtl w:val="0"/>
              </w:rPr>
              <w:t xml:space="preserve">] % or more of the total equity of the Company as at the date of the General Offer, and the</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240" w:lineRule="auto"/>
              <w:ind w:left="720" w:hanging="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(ii)</w:t>
              <w:tab/>
              <w:t xml:space="preserve"> [Investor Majority as at the date of the General Offer]</w:t>
            </w:r>
          </w:p>
          <w:p w:rsidR="00000000" w:rsidDel="00000000" w:rsidP="00000000" w:rsidRDefault="00000000" w:rsidRPr="00000000" w14:paraId="00000036">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(together, the "</w:t>
            </w:r>
            <w:r w:rsidDel="00000000" w:rsidR="00000000" w:rsidRPr="00000000">
              <w:rPr>
                <w:rFonts w:ascii="Times New Roman" w:cs="Times New Roman" w:eastAsia="Times New Roman" w:hAnsi="Times New Roman"/>
                <w:b w:val="1"/>
                <w:bCs w:val="1"/>
                <w:color w:val="000000"/>
                <w:sz w:val="24"/>
                <w:szCs w:val="24"/>
                <w:rtl w:val="0"/>
              </w:rPr>
              <w:t xml:space="preserve">Accepting Quotaholders</w:t>
            </w:r>
            <w:r w:rsidDel="00000000" w:rsidR="00000000" w:rsidRPr="00000000">
              <w:rPr>
                <w:rFonts w:ascii="Times New Roman" w:cs="Times New Roman" w:eastAsia="Times New Roman" w:hAnsi="Times New Roman"/>
                <w:color w:val="000000"/>
                <w:sz w:val="24"/>
                <w:szCs w:val="24"/>
                <w:rtl w:val="0"/>
              </w:rPr>
              <w:t xml:space="preserve">"), then the Accepting Quotaholders may exercise drag along rights in respect of the quotas held by the non-accepting quotaholders.</w:t>
            </w:r>
          </w:p>
        </w:tc>
      </w:tr>
      <w:tr>
        <w:trPr>
          <w:cantSplit w:val="0"/>
          <w:tblHeader w:val="0"/>
        </w:trPr>
        <w:tc>
          <w:tcPr/>
          <w:p w:rsidR="00000000" w:rsidDel="00000000" w:rsidP="00000000" w:rsidRDefault="00000000" w:rsidRPr="00000000" w14:paraId="00000037">
            <w:pPr>
              <w:pBdr>
                <w:top w:space="0" w:sz="0" w:val="nil"/>
                <w:left w:space="0" w:sz="0" w:val="nil"/>
                <w:bottom w:space="0" w:sz="0" w:val="nil"/>
                <w:right w:space="0" w:sz="0" w:val="nil"/>
                <w:between w:space="0" w:sz="0" w:val="nil"/>
              </w:pBd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Founder’s covenants and undertakings </w:t>
            </w:r>
          </w:p>
        </w:tc>
        <w:tc>
          <w:tcPr/>
          <w:p w:rsidR="00000000" w:rsidDel="00000000" w:rsidP="00000000" w:rsidRDefault="00000000" w:rsidRPr="00000000" w14:paraId="00000038">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rtl w:val="0"/>
              </w:rPr>
              <w:t xml:space="preserve">The Founder[s] will enter into customary confidentiality, non-compete, non-solicitation and IP transfer agreements. The Founder[s] will agree to devote their entire business time and attention to the Company and not to undertake additional business activities without the consent of the Investor Majority.</w:t>
            </w:r>
            <w:r w:rsidDel="00000000" w:rsidR="00000000" w:rsidRPr="00000000">
              <w:rPr>
                <w:rtl w:val="0"/>
              </w:rPr>
            </w:r>
          </w:p>
        </w:tc>
      </w:tr>
      <w:tr>
        <w:trPr>
          <w:cantSplit w:val="0"/>
          <w:tblHeader w:val="0"/>
        </w:trPr>
        <w:tc>
          <w:tcPr/>
          <w:p w:rsidR="00000000" w:rsidDel="00000000" w:rsidP="00000000" w:rsidRDefault="00000000" w:rsidRPr="00000000" w14:paraId="00000039">
            <w:pPr>
              <w:pBdr>
                <w:top w:space="0" w:sz="0" w:val="nil"/>
                <w:left w:space="0" w:sz="0" w:val="nil"/>
                <w:bottom w:space="0" w:sz="0" w:val="nil"/>
                <w:right w:space="0" w:sz="0" w:val="nil"/>
                <w:between w:space="0" w:sz="0" w:val="nil"/>
              </w:pBd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Founder’s quotas</w:t>
            </w:r>
          </w:p>
        </w:tc>
        <w:tc>
          <w:tcPr/>
          <w:p w:rsidR="00000000" w:rsidDel="00000000" w:rsidP="00000000" w:rsidRDefault="00000000" w:rsidRPr="00000000" w14:paraId="0000003A">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quota of each Founder will be subject to reverse vesting over 4 years as follows: a portion representing 25% of the relevant Founder’s quota to vest [1 year] after the Completion and the remaining 75% to vest in equal monthly instalments over the following 3 years (such 4-year total period the “</w:t>
            </w:r>
            <w:r w:rsidDel="00000000" w:rsidR="00000000" w:rsidRPr="00000000">
              <w:rPr>
                <w:rFonts w:ascii="Times New Roman" w:cs="Times New Roman" w:eastAsia="Times New Roman" w:hAnsi="Times New Roman"/>
                <w:b w:val="1"/>
                <w:bCs w:val="1"/>
                <w:color w:val="000000"/>
                <w:sz w:val="24"/>
                <w:szCs w:val="24"/>
                <w:rtl w:val="0"/>
              </w:rPr>
              <w:t xml:space="preserve">Vesting Period</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3B">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 case the relevant Founder becomes a Good Leaver during the Vesting Period, the Company will have the right to acquire the unvested portion of such Founder’s quota for a nominal value and the vested portion for a fair market value [to be calculated in accordance with the formula set out in the Definitive Documents].</w:t>
            </w:r>
          </w:p>
          <w:p w:rsidR="00000000" w:rsidDel="00000000" w:rsidP="00000000" w:rsidRDefault="00000000" w:rsidRPr="00000000" w14:paraId="0000003C">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 case the relevant Founder becomes a Bad Leaver during the Vesting Period, the Company will have the right to acquire the entire quota of the Founder for a nominal value.</w:t>
            </w:r>
          </w:p>
          <w:p w:rsidR="00000000" w:rsidDel="00000000" w:rsidP="00000000" w:rsidRDefault="00000000" w:rsidRPr="00000000" w14:paraId="0000003D">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Founder will be deemed “</w:t>
            </w:r>
            <w:r w:rsidDel="00000000" w:rsidR="00000000" w:rsidRPr="00000000">
              <w:rPr>
                <w:rFonts w:ascii="Times New Roman" w:cs="Times New Roman" w:eastAsia="Times New Roman" w:hAnsi="Times New Roman"/>
                <w:b w:val="1"/>
                <w:bCs w:val="1"/>
                <w:color w:val="000000"/>
                <w:sz w:val="24"/>
                <w:szCs w:val="24"/>
                <w:rtl w:val="0"/>
              </w:rPr>
              <w:t xml:space="preserve">Bad Leaver</w:t>
            </w:r>
            <w:r w:rsidDel="00000000" w:rsidR="00000000" w:rsidRPr="00000000">
              <w:rPr>
                <w:rFonts w:ascii="Times New Roman" w:cs="Times New Roman" w:eastAsia="Times New Roman" w:hAnsi="Times New Roman"/>
                <w:color w:val="000000"/>
                <w:sz w:val="24"/>
                <w:szCs w:val="24"/>
                <w:rtl w:val="0"/>
              </w:rPr>
              <w:t xml:space="preserve">” if</w:t>
            </w:r>
          </w:p>
          <w:p w:rsidR="00000000" w:rsidDel="00000000" w:rsidP="00000000" w:rsidRDefault="00000000" w:rsidRPr="00000000" w14:paraId="0000003E">
            <w:pPr>
              <w:widowControl w:val="0"/>
              <w:numPr>
                <w:ilvl w:val="3"/>
                <w:numId w:val="4"/>
              </w:numPr>
              <w:pBdr>
                <w:top w:space="0" w:sz="0" w:val="nil"/>
                <w:left w:space="0" w:sz="0" w:val="nil"/>
                <w:bottom w:space="0" w:sz="0" w:val="nil"/>
                <w:right w:space="0" w:sz="0" w:val="nil"/>
                <w:between w:space="0" w:sz="0" w:val="nil"/>
              </w:pBdr>
              <w:tabs>
                <w:tab w:val="left" w:leader="none" w:pos="1276"/>
              </w:tabs>
              <w:spacing w:before="0" w:lineRule="auto"/>
              <w:ind w:left="1276"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his/her professional relationship with the Company terminates </w:t>
            </w:r>
            <w:r w:rsidDel="00000000" w:rsidR="00000000" w:rsidRPr="00000000">
              <w:rPr>
                <w:rFonts w:ascii="Times New Roman" w:cs="Times New Roman" w:eastAsia="Times New Roman" w:hAnsi="Times New Roman"/>
                <w:color w:val="000000"/>
                <w:sz w:val="24"/>
                <w:szCs w:val="24"/>
                <w:rtl w:val="0"/>
              </w:rPr>
              <w:t xml:space="preserve">[due to the Founder’s material breach or his/her actions causing material damage to the Company</w:t>
            </w:r>
            <w:r w:rsidDel="00000000" w:rsidR="00000000" w:rsidRPr="00000000">
              <w:rPr>
                <w:rFonts w:ascii="Times New Roman" w:cs="Times New Roman" w:eastAsia="Times New Roman" w:hAnsi="Times New Roman"/>
                <w:color w:val="000000"/>
                <w:sz w:val="24"/>
                <w:szCs w:val="24"/>
                <w:vertAlign w:val="superscript"/>
              </w:rPr>
              <w:footnoteReference w:customMarkFollows="0" w:id="2"/>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03F">
            <w:pPr>
              <w:widowControl w:val="0"/>
              <w:numPr>
                <w:ilvl w:val="3"/>
                <w:numId w:val="4"/>
              </w:numPr>
              <w:pBdr>
                <w:top w:space="0" w:sz="0" w:val="nil"/>
                <w:left w:space="0" w:sz="0" w:val="nil"/>
                <w:bottom w:space="0" w:sz="0" w:val="nil"/>
                <w:right w:space="0" w:sz="0" w:val="nil"/>
                <w:between w:space="0" w:sz="0" w:val="nil"/>
              </w:pBdr>
              <w:tabs>
                <w:tab w:val="left" w:leader="none" w:pos="1276"/>
              </w:tabs>
              <w:spacing w:before="0" w:lineRule="auto"/>
              <w:ind w:left="1276"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[he/she voluntary resigns from the professional relationship (which is not caused by (x) the Company’s material breach of the professional relationship or </w:t>
            </w:r>
            <w:r w:rsidDel="00000000" w:rsidR="00000000" w:rsidRPr="00000000">
              <w:rPr>
                <w:rFonts w:ascii="Times New Roman" w:cs="Times New Roman" w:eastAsia="Times New Roman" w:hAnsi="Times New Roman"/>
                <w:color w:val="000000"/>
                <w:sz w:val="24"/>
                <w:szCs w:val="24"/>
                <w:rtl w:val="0"/>
              </w:rPr>
              <w:t xml:space="preserve">(y) the Founder’s death or permanent inability to perform duties due to health reasons)</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Founder will be deemed a “</w:t>
            </w:r>
            <w:r w:rsidDel="00000000" w:rsidR="00000000" w:rsidRPr="00000000">
              <w:rPr>
                <w:rFonts w:ascii="Times New Roman" w:cs="Times New Roman" w:eastAsia="Times New Roman" w:hAnsi="Times New Roman"/>
                <w:b w:val="1"/>
                <w:bCs w:val="1"/>
                <w:color w:val="000000"/>
                <w:sz w:val="24"/>
                <w:szCs w:val="24"/>
                <w:rtl w:val="0"/>
              </w:rPr>
              <w:t xml:space="preserve">Good Leaver</w:t>
            </w:r>
            <w:r w:rsidDel="00000000" w:rsidR="00000000" w:rsidRPr="00000000">
              <w:rPr>
                <w:rFonts w:ascii="Times New Roman" w:cs="Times New Roman" w:eastAsia="Times New Roman" w:hAnsi="Times New Roman"/>
                <w:color w:val="000000"/>
                <w:sz w:val="24"/>
                <w:szCs w:val="24"/>
                <w:rtl w:val="0"/>
              </w:rPr>
              <w:t xml:space="preserve">” if his/her professional relationship with the Company terminates for any reason other than those set out in sub-paragraph (a) [and (b)] of this paragraph. </w:t>
            </w:r>
          </w:p>
          <w:p w:rsidR="00000000" w:rsidDel="00000000" w:rsidP="00000000" w:rsidRDefault="00000000" w:rsidRPr="00000000" w14:paraId="00000041">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During the Vesting Period, the Founder[s] shall not sell without the prior consent of the Investor Majority.</w:t>
            </w:r>
          </w:p>
        </w:tc>
      </w:tr>
      <w:tr>
        <w:trPr>
          <w:cantSplit w:val="0"/>
          <w:tblHeader w:val="0"/>
        </w:trPr>
        <w:tc>
          <w:tcPr/>
          <w:p w:rsidR="00000000" w:rsidDel="00000000" w:rsidP="00000000" w:rsidRDefault="00000000" w:rsidRPr="00000000" w14:paraId="00000042">
            <w:pPr>
              <w:pBdr>
                <w:top w:space="0" w:sz="0" w:val="nil"/>
                <w:left w:space="0" w:sz="0" w:val="nil"/>
                <w:bottom w:space="0" w:sz="0" w:val="nil"/>
                <w:right w:space="0" w:sz="0" w:val="nil"/>
                <w:between w:space="0" w:sz="0" w:val="nil"/>
              </w:pBd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Managing director</w:t>
            </w:r>
          </w:p>
        </w:tc>
        <w:tc>
          <w:tcPr/>
          <w:p w:rsidR="00000000" w:rsidDel="00000000" w:rsidP="00000000" w:rsidRDefault="00000000" w:rsidRPr="00000000" w14:paraId="00000043">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Company will have one managing director (in Hungarian: ügyvezető) appointed. As of Completion Founder[1] shall act as managing director for an indefinite period of time and will provide such services as the employee of the Company in accordance with his/her employment contract.</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color w:val="000000"/>
                <w:sz w:val="24"/>
                <w:szCs w:val="24"/>
                <w:rtl w:val="0"/>
              </w:rPr>
              <w:t xml:space="preserve">The managing director shall have competence in the matters that are not assigned to the competence of the Company’s quotaholder’s meeting.</w:t>
            </w:r>
          </w:p>
          <w:p w:rsidR="00000000" w:rsidDel="00000000" w:rsidP="00000000" w:rsidRDefault="00000000" w:rsidRPr="00000000" w14:paraId="00000044">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It is agreed that the managing director shall have individual representation and signatory rights on behalf of the Company.</w:t>
            </w:r>
          </w:p>
        </w:tc>
      </w:tr>
      <w:tr>
        <w:trPr>
          <w:cantSplit w:val="0"/>
          <w:tblHeader w:val="0"/>
        </w:trPr>
        <w:tc>
          <w:tcPr/>
          <w:p w:rsidR="00000000" w:rsidDel="00000000" w:rsidP="00000000" w:rsidRDefault="00000000" w:rsidRPr="00000000" w14:paraId="00000045">
            <w:pPr>
              <w:pBdr>
                <w:top w:space="0" w:sz="0" w:val="nil"/>
                <w:left w:space="0" w:sz="0" w:val="nil"/>
                <w:bottom w:space="0" w:sz="0" w:val="nil"/>
                <w:right w:space="0" w:sz="0" w:val="nil"/>
                <w:between w:space="0" w:sz="0" w:val="nil"/>
              </w:pBd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[OPTIONAL: </w:t>
            </w:r>
            <w:r w:rsidDel="00000000" w:rsidR="00000000" w:rsidRPr="00000000">
              <w:rPr>
                <w:rFonts w:ascii="Times New Roman" w:cs="Times New Roman" w:eastAsia="Times New Roman" w:hAnsi="Times New Roman"/>
                <w:b w:val="1"/>
                <w:bCs w:val="1"/>
                <w:color w:val="000000"/>
                <w:sz w:val="24"/>
                <w:szCs w:val="24"/>
                <w:rtl w:val="0"/>
              </w:rPr>
              <w:t xml:space="preserve">Quotaholder’s Committee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tc>
        <w:tc>
          <w:tcPr/>
          <w:p w:rsidR="00000000" w:rsidDel="00000000" w:rsidP="00000000" w:rsidRDefault="00000000" w:rsidRPr="00000000" w14:paraId="00000046">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highlight w:val="darkGray"/>
                <w:rtl w:val="0"/>
              </w:rPr>
              <w:t xml:space="preserve">5</w:t>
            </w:r>
            <w:r w:rsidDel="00000000" w:rsidR="00000000" w:rsidRPr="00000000">
              <w:rPr>
                <w:rFonts w:ascii="Times New Roman" w:cs="Times New Roman" w:eastAsia="Times New Roman" w:hAnsi="Times New Roman"/>
                <w:color w:val="000000"/>
                <w:sz w:val="24"/>
                <w:szCs w:val="24"/>
                <w:rtl w:val="0"/>
              </w:rPr>
              <w:t xml:space="preserve">] members to be directly appointed or elected to the Quotaholder’s Committee (in Hungarian: ‘</w:t>
            </w:r>
            <w:r w:rsidDel="00000000" w:rsidR="00000000" w:rsidRPr="00000000">
              <w:rPr>
                <w:rFonts w:ascii="Times New Roman" w:cs="Times New Roman" w:eastAsia="Times New Roman" w:hAnsi="Times New Roman"/>
                <w:i w:val="1"/>
                <w:iCs w:val="1"/>
                <w:color w:val="000000"/>
                <w:sz w:val="24"/>
                <w:szCs w:val="24"/>
                <w:rtl w:val="0"/>
              </w:rPr>
              <w:t xml:space="preserve">tulajdonosi bizottság</w:t>
            </w:r>
            <w:r w:rsidDel="00000000" w:rsidR="00000000" w:rsidRPr="00000000">
              <w:rPr>
                <w:rFonts w:ascii="Times New Roman" w:cs="Times New Roman" w:eastAsia="Times New Roman" w:hAnsi="Times New Roman"/>
                <w:color w:val="000000"/>
                <w:sz w:val="24"/>
                <w:szCs w:val="24"/>
                <w:rtl w:val="0"/>
              </w:rPr>
              <w:t xml:space="preserve">’) as follows:</w:t>
            </w:r>
          </w:p>
          <w:p w:rsidR="00000000" w:rsidDel="00000000" w:rsidP="00000000" w:rsidRDefault="00000000" w:rsidRPr="00000000" w14:paraId="00000047">
            <w:pPr>
              <w:numPr>
                <w:ilvl w:val="0"/>
                <w:numId w:val="6"/>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highlight w:val="darkGray"/>
                <w:rtl w:val="0"/>
              </w:rPr>
              <w:t xml:space="preserve">1</w:t>
            </w:r>
            <w:r w:rsidDel="00000000" w:rsidR="00000000" w:rsidRPr="00000000">
              <w:rPr>
                <w:rFonts w:ascii="Times New Roman" w:cs="Times New Roman" w:eastAsia="Times New Roman" w:hAnsi="Times New Roman"/>
                <w:color w:val="000000"/>
                <w:sz w:val="24"/>
                <w:szCs w:val="24"/>
                <w:rtl w:val="0"/>
              </w:rPr>
              <w:t xml:space="preserve">] member to be directly appointed by the Investor;</w:t>
            </w:r>
          </w:p>
          <w:p w:rsidR="00000000" w:rsidDel="00000000" w:rsidP="00000000" w:rsidRDefault="00000000" w:rsidRPr="00000000" w14:paraId="00000048">
            <w:pPr>
              <w:numPr>
                <w:ilvl w:val="0"/>
                <w:numId w:val="6"/>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highlight w:val="darkGray"/>
                <w:rtl w:val="0"/>
              </w:rPr>
              <w:t xml:space="preserve">1</w:t>
            </w:r>
            <w:r w:rsidDel="00000000" w:rsidR="00000000" w:rsidRPr="00000000">
              <w:rPr>
                <w:rFonts w:ascii="Times New Roman" w:cs="Times New Roman" w:eastAsia="Times New Roman" w:hAnsi="Times New Roman"/>
                <w:color w:val="000000"/>
                <w:sz w:val="24"/>
                <w:szCs w:val="24"/>
                <w:rtl w:val="0"/>
              </w:rPr>
              <w:t xml:space="preserve">] member to be directly appointed by the [Additional Investor];</w:t>
            </w:r>
          </w:p>
          <w:p w:rsidR="00000000" w:rsidDel="00000000" w:rsidP="00000000" w:rsidRDefault="00000000" w:rsidRPr="00000000" w14:paraId="00000049">
            <w:pPr>
              <w:numPr>
                <w:ilvl w:val="0"/>
                <w:numId w:val="6"/>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highlight w:val="darkGray"/>
                <w:rtl w:val="0"/>
              </w:rPr>
              <w:t xml:space="preserve">1</w:t>
            </w:r>
            <w:r w:rsidDel="00000000" w:rsidR="00000000" w:rsidRPr="00000000">
              <w:rPr>
                <w:rFonts w:ascii="Times New Roman" w:cs="Times New Roman" w:eastAsia="Times New Roman" w:hAnsi="Times New Roman"/>
                <w:color w:val="000000"/>
                <w:sz w:val="24"/>
                <w:szCs w:val="24"/>
                <w:rtl w:val="0"/>
              </w:rPr>
              <w:t xml:space="preserve">] member to be elected by quotaholders of the Company amongst candidates approved by both the Investor Majority and the Founder[s];</w:t>
            </w:r>
          </w:p>
          <w:p w:rsidR="00000000" w:rsidDel="00000000" w:rsidP="00000000" w:rsidRDefault="00000000" w:rsidRPr="00000000" w14:paraId="0000004A">
            <w:pPr>
              <w:numPr>
                <w:ilvl w:val="0"/>
                <w:numId w:val="6"/>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highlight w:val="darkGray"/>
                <w:rtl w:val="0"/>
              </w:rPr>
              <w:t xml:space="preserve">2</w:t>
            </w:r>
            <w:r w:rsidDel="00000000" w:rsidR="00000000" w:rsidRPr="00000000">
              <w:rPr>
                <w:rFonts w:ascii="Times New Roman" w:cs="Times New Roman" w:eastAsia="Times New Roman" w:hAnsi="Times New Roman"/>
                <w:color w:val="000000"/>
                <w:sz w:val="24"/>
                <w:szCs w:val="24"/>
                <w:rtl w:val="0"/>
              </w:rPr>
              <w:t xml:space="preserve">] member(s) to be elected by quotaholders of the Company amongst candidates appointed by Founder[s].</w:t>
            </w:r>
          </w:p>
        </w:tc>
      </w:tr>
      <w:tr>
        <w:trPr>
          <w:cantSplit w:val="0"/>
          <w:tblHeader w:val="0"/>
        </w:trPr>
        <w:tc>
          <w:tcPr/>
          <w:p w:rsidR="00000000" w:rsidDel="00000000" w:rsidP="00000000" w:rsidRDefault="00000000" w:rsidRPr="00000000" w14:paraId="0000004B">
            <w:pPr>
              <w:pBdr>
                <w:top w:space="0" w:sz="0" w:val="nil"/>
                <w:left w:space="0" w:sz="0" w:val="nil"/>
                <w:bottom w:space="0" w:sz="0" w:val="nil"/>
                <w:right w:space="0" w:sz="0" w:val="nil"/>
                <w:between w:space="0" w:sz="0" w:val="nil"/>
              </w:pBd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Information rights</w:t>
            </w:r>
          </w:p>
        </w:tc>
        <w:tc>
          <w:tcPr/>
          <w:p w:rsidR="00000000" w:rsidDel="00000000" w:rsidP="00000000" w:rsidRDefault="00000000" w:rsidRPr="00000000" w14:paraId="0000004C">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Investor will receive periodical (monthly/quarterly/annual) reporting, including financial information and non-financial KPIs.</w:t>
            </w:r>
          </w:p>
        </w:tc>
      </w:tr>
      <w:tr>
        <w:trPr>
          <w:cantSplit w:val="0"/>
          <w:tblHeader w:val="0"/>
        </w:trPr>
        <w:tc>
          <w:tcPr/>
          <w:p w:rsidR="00000000" w:rsidDel="00000000" w:rsidP="00000000" w:rsidRDefault="00000000" w:rsidRPr="00000000" w14:paraId="0000004D">
            <w:pPr>
              <w:pBdr>
                <w:top w:space="0" w:sz="0" w:val="nil"/>
                <w:left w:space="0" w:sz="0" w:val="nil"/>
                <w:bottom w:space="0" w:sz="0" w:val="nil"/>
                <w:right w:space="0" w:sz="0" w:val="nil"/>
                <w:between w:space="0" w:sz="0" w:val="nil"/>
              </w:pBd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Representations and Warranties</w:t>
            </w:r>
          </w:p>
        </w:tc>
        <w:tc>
          <w:tcPr/>
          <w:p w:rsidR="00000000" w:rsidDel="00000000" w:rsidP="00000000" w:rsidRDefault="00000000" w:rsidRPr="00000000" w14:paraId="0000004E">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Standard representations and warranties by the Company. Representations and warranties by Founder[s] regarding cap table, business plan, compliance with laws, accounts, technology, IP and ownership. </w:t>
            </w:r>
          </w:p>
        </w:tc>
      </w:tr>
      <w:tr>
        <w:trPr>
          <w:cantSplit w:val="0"/>
          <w:tblHeader w:val="0"/>
        </w:trPr>
        <w:tc>
          <w:tcPr/>
          <w:p w:rsidR="00000000" w:rsidDel="00000000" w:rsidP="00000000" w:rsidRDefault="00000000" w:rsidRPr="00000000" w14:paraId="0000004F">
            <w:pPr>
              <w:pBdr>
                <w:top w:space="0" w:sz="0" w:val="nil"/>
                <w:left w:space="0" w:sz="0" w:val="nil"/>
                <w:bottom w:space="0" w:sz="0" w:val="nil"/>
                <w:right w:space="0" w:sz="0" w:val="nil"/>
                <w:between w:space="0" w:sz="0" w:val="nil"/>
              </w:pBd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Transaction costs</w:t>
            </w:r>
          </w:p>
        </w:tc>
        <w:tc>
          <w:tcPr/>
          <w:p w:rsidR="00000000" w:rsidDel="00000000" w:rsidP="00000000" w:rsidRDefault="00000000" w:rsidRPr="00000000" w14:paraId="00000050">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Company and the Investor will bear their own legal and other costs incurred in relation to the transactions contemplated in this Term Sheet, save that the Company will reimburse (subject to Completion) to the Investor up to EUR [</w:t>
            </w:r>
            <w:r w:rsidDel="00000000" w:rsidR="00000000" w:rsidRPr="00000000">
              <w:rPr>
                <w:rFonts w:ascii="Times New Roman" w:cs="Times New Roman" w:eastAsia="Times New Roman" w:hAnsi="Times New Roman"/>
                <w:color w:val="000000"/>
                <w:sz w:val="24"/>
                <w:szCs w:val="24"/>
                <w:highlight w:val="darkGray"/>
                <w:rtl w:val="0"/>
              </w:rPr>
              <w:t xml:space="preserve">●</w:t>
            </w:r>
            <w:r w:rsidDel="00000000" w:rsidR="00000000" w:rsidRPr="00000000">
              <w:rPr>
                <w:rFonts w:ascii="Times New Roman" w:cs="Times New Roman" w:eastAsia="Times New Roman" w:hAnsi="Times New Roman"/>
                <w:color w:val="000000"/>
                <w:sz w:val="24"/>
                <w:szCs w:val="24"/>
                <w:rtl w:val="0"/>
              </w:rPr>
              <w:t xml:space="preserve">] in respect of the legal expenses incurred by the Investor in connection with the Investment.</w:t>
            </w:r>
          </w:p>
        </w:tc>
      </w:tr>
      <w:tr>
        <w:trPr>
          <w:cantSplit w:val="0"/>
          <w:tblHeader w:val="0"/>
        </w:trPr>
        <w:tc>
          <w:tcPr>
            <w:gridSpan w:val="2"/>
          </w:tcPr>
          <w:p w:rsidR="00000000" w:rsidDel="00000000" w:rsidP="00000000" w:rsidRDefault="00000000" w:rsidRPr="00000000" w14:paraId="00000051">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w:t>
              <w:tab/>
            </w:r>
            <w:r w:rsidDel="00000000" w:rsidR="00000000" w:rsidRPr="00000000">
              <w:rPr>
                <w:rFonts w:ascii="Times New Roman" w:cs="Times New Roman" w:eastAsia="Times New Roman" w:hAnsi="Times New Roman"/>
                <w:b w:val="1"/>
                <w:bCs w:val="1"/>
                <w:color w:val="000000"/>
                <w:sz w:val="24"/>
                <w:szCs w:val="24"/>
                <w:rtl w:val="0"/>
              </w:rPr>
              <w:t xml:space="preserve">LEGALLY BINDING PROVISIONS</w:t>
            </w:r>
            <w:r w:rsidDel="00000000" w:rsidR="00000000" w:rsidRPr="00000000">
              <w:rPr>
                <w:rtl w:val="0"/>
              </w:rPr>
            </w:r>
          </w:p>
        </w:tc>
      </w:tr>
      <w:tr>
        <w:trPr>
          <w:cantSplit w:val="0"/>
          <w:tblHeader w:val="0"/>
        </w:trPr>
        <w:tc>
          <w:tcPr/>
          <w:p w:rsidR="00000000" w:rsidDel="00000000" w:rsidP="00000000" w:rsidRDefault="00000000" w:rsidRPr="00000000" w14:paraId="00000053">
            <w:pPr>
              <w:pBdr>
                <w:top w:space="0" w:sz="0" w:val="nil"/>
                <w:left w:space="0" w:sz="0" w:val="nil"/>
                <w:bottom w:space="0" w:sz="0" w:val="nil"/>
                <w:right w:space="0" w:sz="0" w:val="nil"/>
                <w:between w:space="0" w:sz="0" w:val="nil"/>
              </w:pBd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Exclusivity </w:t>
            </w:r>
          </w:p>
        </w:tc>
        <w:tc>
          <w:tcPr/>
          <w:p w:rsidR="00000000" w:rsidDel="00000000" w:rsidP="00000000" w:rsidRDefault="00000000" w:rsidRPr="00000000" w14:paraId="00000054">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Company and the Founder[s] agree not to discuss, negotiate, solicit, encourage or accept any proposals regarding the sale of quotas of the Company, financing of the Company by equity, debt or otherwise or disposal of material assets of the Company for [</w:t>
            </w:r>
            <w:r w:rsidDel="00000000" w:rsidR="00000000" w:rsidRPr="00000000">
              <w:rPr>
                <w:rFonts w:ascii="Times New Roman" w:cs="Times New Roman" w:eastAsia="Times New Roman" w:hAnsi="Times New Roman"/>
                <w:color w:val="000000"/>
                <w:sz w:val="24"/>
                <w:szCs w:val="24"/>
                <w:highlight w:val="darkGray"/>
                <w:rtl w:val="0"/>
              </w:rPr>
              <w:t xml:space="preserve">30/60/90</w:t>
            </w:r>
            <w:r w:rsidDel="00000000" w:rsidR="00000000" w:rsidRPr="00000000">
              <w:rPr>
                <w:rFonts w:ascii="Times New Roman" w:cs="Times New Roman" w:eastAsia="Times New Roman" w:hAnsi="Times New Roman"/>
                <w:color w:val="000000"/>
                <w:sz w:val="24"/>
                <w:szCs w:val="24"/>
                <w:rtl w:val="0"/>
              </w:rPr>
              <w:t xml:space="preserve">] days from the date of this Term Sheet. </w:t>
            </w:r>
          </w:p>
          <w:p w:rsidR="00000000" w:rsidDel="00000000" w:rsidP="00000000" w:rsidRDefault="00000000" w:rsidRPr="00000000" w14:paraId="00000055">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Founder[s] and the Company agree and undertake to inform the Investor immediately of the identity of any third party who contacts the Founder[s] or the Company with a view to the acquisition of any interest in the Company or any part of the business of the Company.]</w:t>
            </w:r>
          </w:p>
        </w:tc>
      </w:tr>
      <w:tr>
        <w:trPr>
          <w:cantSplit w:val="0"/>
          <w:tblHeader w:val="0"/>
        </w:trPr>
        <w:tc>
          <w:tcPr/>
          <w:p w:rsidR="00000000" w:rsidDel="00000000" w:rsidP="00000000" w:rsidRDefault="00000000" w:rsidRPr="00000000" w14:paraId="00000056">
            <w:pPr>
              <w:pBdr>
                <w:top w:space="0" w:sz="0" w:val="nil"/>
                <w:left w:space="0" w:sz="0" w:val="nil"/>
                <w:bottom w:space="0" w:sz="0" w:val="nil"/>
                <w:right w:space="0" w:sz="0" w:val="nil"/>
                <w:between w:space="0" w:sz="0" w:val="nil"/>
              </w:pBd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Confidentiality</w:t>
            </w:r>
          </w:p>
        </w:tc>
        <w:tc>
          <w:tcPr/>
          <w:p w:rsidR="00000000" w:rsidDel="00000000" w:rsidP="00000000" w:rsidRDefault="00000000" w:rsidRPr="00000000" w14:paraId="00000057">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This Term Sheet is entered into on the basis that its contents and existence are confidential and will not (except with the agreement in writing of the Investor, or in order to comply with any statutory or regulatory requirements) be revealed by the Company, the Founder[s] or the Investor to any third party or be the subject of any announcement. Disclosing any part of this Term Sheet by any party hereto to its/her/his respective legal counsel or financial advisor shall not constitute a breach of the confidentiality undertakings contained herein.</w:t>
            </w:r>
          </w:p>
        </w:tc>
      </w:tr>
      <w:tr>
        <w:trPr>
          <w:cantSplit w:val="0"/>
          <w:tblHeader w:val="0"/>
        </w:trPr>
        <w:tc>
          <w:tcPr/>
          <w:p w:rsidR="00000000" w:rsidDel="00000000" w:rsidP="00000000" w:rsidRDefault="00000000" w:rsidRPr="00000000" w14:paraId="00000058">
            <w:pPr>
              <w:pBdr>
                <w:top w:space="0" w:sz="0" w:val="nil"/>
                <w:left w:space="0" w:sz="0" w:val="nil"/>
                <w:bottom w:space="0" w:sz="0" w:val="nil"/>
                <w:right w:space="0" w:sz="0" w:val="nil"/>
                <w:between w:space="0" w:sz="0" w:val="nil"/>
              </w:pBd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Jurisdiction and governing law</w:t>
            </w:r>
          </w:p>
        </w:tc>
        <w:tc>
          <w:tcPr/>
          <w:p w:rsidR="00000000" w:rsidDel="00000000" w:rsidP="00000000" w:rsidRDefault="00000000" w:rsidRPr="00000000" w14:paraId="00000059">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This Term Sheet will be governed and construed in accordance with the laws of Hungary. Any dispute arising out of or in connection with this Term Sheet, will be finally settled in the courts of Hungary. </w:t>
            </w:r>
          </w:p>
        </w:tc>
      </w:tr>
      <w:tr>
        <w:trPr>
          <w:cantSplit w:val="0"/>
          <w:tblHeader w:val="0"/>
        </w:trPr>
        <w:tc>
          <w:tcPr/>
          <w:p w:rsidR="00000000" w:rsidDel="00000000" w:rsidP="00000000" w:rsidRDefault="00000000" w:rsidRPr="00000000" w14:paraId="0000005A">
            <w:pPr>
              <w:pBdr>
                <w:top w:space="0" w:sz="0" w:val="nil"/>
                <w:left w:space="0" w:sz="0" w:val="nil"/>
                <w:bottom w:space="0" w:sz="0" w:val="nil"/>
                <w:right w:space="0" w:sz="0" w:val="nil"/>
                <w:between w:space="0" w:sz="0" w:val="nil"/>
              </w:pBd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Exclusion of representations and warranties:</w:t>
            </w:r>
          </w:p>
        </w:tc>
        <w:tc>
          <w:tcPr/>
          <w:p w:rsidR="00000000" w:rsidDel="00000000" w:rsidP="00000000" w:rsidRDefault="00000000" w:rsidRPr="00000000" w14:paraId="0000005B">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By countersigning this Term Sheet, the Company and the Founder[s] acknowledge and agree that they have not relied on any representation or warranty on the part of the Investor or entered into any other agreement with the Investor in connection with the provision of funding by the Investor.</w:t>
            </w:r>
          </w:p>
          <w:p w:rsidR="00000000" w:rsidDel="00000000" w:rsidP="00000000" w:rsidRDefault="00000000" w:rsidRPr="00000000" w14:paraId="0000005C">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Parties hereby intentionally and expressly waive their right, under whatever law or legal system, to initiate, file or launch any claim, litigation, arbitration, dispute, procedure, administrative measure, payment order or any other formal, governmental, non-governmental or administrative measure, each with respect to or based on the provisions of this Term Sheet other than the provisions set out in this section 3 (</w:t>
            </w:r>
            <w:r w:rsidDel="00000000" w:rsidR="00000000" w:rsidRPr="00000000">
              <w:rPr>
                <w:rFonts w:ascii="Times New Roman" w:cs="Times New Roman" w:eastAsia="Times New Roman" w:hAnsi="Times New Roman"/>
                <w:i w:val="1"/>
                <w:iCs w:val="1"/>
                <w:color w:val="000000"/>
                <w:sz w:val="24"/>
                <w:szCs w:val="24"/>
                <w:rtl w:val="0"/>
              </w:rPr>
              <w:t xml:space="preserve">Legally binding provisions</w:t>
            </w:r>
            <w:r w:rsidDel="00000000" w:rsidR="00000000" w:rsidRPr="00000000">
              <w:rPr>
                <w:rFonts w:ascii="Times New Roman" w:cs="Times New Roman" w:eastAsia="Times New Roman" w:hAnsi="Times New Roman"/>
                <w:color w:val="000000"/>
                <w:sz w:val="24"/>
                <w:szCs w:val="24"/>
                <w:rtl w:val="0"/>
              </w:rPr>
              <w:t xml:space="preserve">).</w:t>
            </w:r>
          </w:p>
        </w:tc>
      </w:tr>
      <w:tr>
        <w:trPr>
          <w:cantSplit w:val="0"/>
          <w:tblHeader w:val="0"/>
        </w:trPr>
        <w:tc>
          <w:tcPr/>
          <w:p w:rsidR="00000000" w:rsidDel="00000000" w:rsidP="00000000" w:rsidRDefault="00000000" w:rsidRPr="00000000" w14:paraId="0000005D">
            <w:pPr>
              <w:pBdr>
                <w:top w:space="0" w:sz="0" w:val="nil"/>
                <w:left w:space="0" w:sz="0" w:val="nil"/>
                <w:bottom w:space="0" w:sz="0" w:val="nil"/>
                <w:right w:space="0" w:sz="0" w:val="nil"/>
                <w:between w:space="0" w:sz="0" w:val="nil"/>
              </w:pBd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Expiration</w:t>
            </w:r>
          </w:p>
        </w:tc>
        <w:tc>
          <w:tcPr/>
          <w:p w:rsidR="00000000" w:rsidDel="00000000" w:rsidP="00000000" w:rsidRDefault="00000000" w:rsidRPr="00000000" w14:paraId="0000005E">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This Term Sheet expires on [</w:t>
            </w:r>
            <w:r w:rsidDel="00000000" w:rsidR="00000000" w:rsidRPr="00000000">
              <w:rPr>
                <w:rFonts w:ascii="Times New Roman" w:cs="Times New Roman" w:eastAsia="Times New Roman" w:hAnsi="Times New Roman"/>
                <w:color w:val="000000"/>
                <w:sz w:val="24"/>
                <w:szCs w:val="24"/>
                <w:highlight w:val="darkGray"/>
                <w:rtl w:val="0"/>
              </w:rPr>
              <w:t xml:space="preserve">●</w:t>
            </w:r>
            <w:r w:rsidDel="00000000" w:rsidR="00000000" w:rsidRPr="00000000">
              <w:rPr>
                <w:rFonts w:ascii="Times New Roman" w:cs="Times New Roman" w:eastAsia="Times New Roman" w:hAnsi="Times New Roman"/>
                <w:color w:val="000000"/>
                <w:sz w:val="24"/>
                <w:szCs w:val="24"/>
                <w:rtl w:val="0"/>
              </w:rPr>
              <w:t xml:space="preserve">] if not accepted on or before the parties by that date. </w:t>
            </w:r>
          </w:p>
        </w:tc>
      </w:tr>
    </w:tbl>
    <w:p w:rsidR="00000000" w:rsidDel="00000000" w:rsidP="00000000" w:rsidRDefault="00000000" w:rsidRPr="00000000" w14:paraId="0000005F">
      <w:pPr>
        <w:pageBreakBefore w:val="1"/>
        <w:numPr>
          <w:ilvl w:val="0"/>
          <w:numId w:val="3"/>
        </w:numPr>
        <w:pBdr>
          <w:top w:space="0" w:sz="0" w:val="nil"/>
          <w:left w:space="0" w:sz="0" w:val="nil"/>
          <w:bottom w:space="0" w:sz="0" w:val="nil"/>
          <w:right w:space="0" w:sz="0" w:val="nil"/>
          <w:between w:space="0" w:sz="0" w:val="nil"/>
        </w:pBdr>
        <w:spacing w:after="0" w:before="240" w:lineRule="auto"/>
        <w:ind w:left="0" w:firstLine="0"/>
        <w:jc w:val="center"/>
        <w:rPr>
          <w:rFonts w:ascii="Times New Roman" w:cs="Times New Roman" w:eastAsia="Times New Roman" w:hAnsi="Times New Roman"/>
          <w:smallCaps w:val="1"/>
          <w:color w:val="000000"/>
          <w:sz w:val="24"/>
          <w:szCs w:val="24"/>
        </w:rPr>
      </w:pPr>
      <w:r w:rsidDel="00000000" w:rsidR="00000000" w:rsidRPr="00000000">
        <w:rPr>
          <w:rFonts w:ascii="Times New Roman" w:cs="Times New Roman" w:eastAsia="Times New Roman" w:hAnsi="Times New Roman"/>
          <w:b w:val="1"/>
          <w:bCs w:val="1"/>
          <w:smallCaps w:val="1"/>
          <w:color w:val="000000"/>
          <w:sz w:val="24"/>
          <w:szCs w:val="24"/>
          <w:rtl w:val="0"/>
        </w:rPr>
        <w:br w:type="textWrapping"/>
      </w:r>
      <w:r w:rsidDel="00000000" w:rsidR="00000000" w:rsidRPr="00000000">
        <w:rPr>
          <w:rFonts w:ascii="Times New Roman" w:cs="Times New Roman" w:eastAsia="Times New Roman" w:hAnsi="Times New Roman"/>
          <w:b w:val="1"/>
          <w:bCs w:val="1"/>
          <w:smallCaps w:val="1"/>
          <w:sz w:val="24"/>
          <w:szCs w:val="24"/>
          <w:rtl w:val="0"/>
        </w:rPr>
        <w:t xml:space="preserve">CAPITALISATION TABLE</w:t>
      </w:r>
      <w:r w:rsidDel="00000000" w:rsidR="00000000" w:rsidRPr="00000000">
        <w:rPr>
          <w:rFonts w:ascii="Times New Roman" w:cs="Times New Roman" w:eastAsia="Times New Roman" w:hAnsi="Times New Roman"/>
          <w:b w:val="1"/>
          <w:bCs w:val="1"/>
          <w:smallCaps w:val="1"/>
          <w:sz w:val="24"/>
          <w:szCs w:val="24"/>
          <w:vertAlign w:val="superscript"/>
          <w:rtl w:val="0"/>
        </w:rPr>
        <w:t xml:space="preserve">2</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tbl>
      <w:tblPr>
        <w:tblStyle w:val="Table2"/>
        <w:tblW w:w="760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6"/>
        <w:gridCol w:w="2038"/>
        <w:gridCol w:w="2221"/>
        <w:gridCol w:w="2022"/>
        <w:tblGridChange w:id="0">
          <w:tblGrid>
            <w:gridCol w:w="1326"/>
            <w:gridCol w:w="2038"/>
            <w:gridCol w:w="2221"/>
            <w:gridCol w:w="2022"/>
          </w:tblGrid>
        </w:tblGridChange>
      </w:tblGrid>
      <w:tr>
        <w:trPr>
          <w:cantSplit w:val="0"/>
          <w:tblHeader w:val="0"/>
        </w:trPr>
        <w:tc>
          <w:tcPr/>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240" w:lineRule="auto"/>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Name</w:t>
            </w:r>
          </w:p>
        </w:tc>
        <w:tc>
          <w:tcPr/>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240" w:lineRule="auto"/>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Percentage of the registered capital represented by quota held prior to Completion</w:t>
            </w:r>
          </w:p>
        </w:tc>
        <w:tc>
          <w:tcPr/>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240" w:lineRule="auto"/>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Percentage of the registered capital represented by quota held post-Completion</w:t>
            </w:r>
          </w:p>
        </w:tc>
        <w:tc>
          <w:tcPr/>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240" w:lineRule="auto"/>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Percentage of fully diluted registered capital post-Completion</w:t>
            </w:r>
          </w:p>
        </w:tc>
      </w:tr>
      <w:tr>
        <w:trPr>
          <w:cantSplit w:val="0"/>
          <w:tblHeader w:val="0"/>
        </w:trPr>
        <w:tc>
          <w:tcPr/>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Founder 1</w:t>
            </w:r>
          </w:p>
        </w:tc>
        <w:tc>
          <w:tcPr/>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240" w:lineRule="auto"/>
              <w:jc w:val="both"/>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240" w:lineRule="auto"/>
              <w:jc w:val="both"/>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240" w:lineRule="auto"/>
              <w:jc w:val="both"/>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Founder 2</w:t>
            </w:r>
          </w:p>
        </w:tc>
        <w:tc>
          <w:tcPr/>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240" w:lineRule="auto"/>
              <w:jc w:val="both"/>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240" w:lineRule="auto"/>
              <w:jc w:val="both"/>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240" w:lineRule="auto"/>
              <w:jc w:val="both"/>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highlight w:val="darkGray"/>
                <w:rtl w:val="0"/>
              </w:rPr>
              <w:t xml:space="preserve">Additional Founder</w:t>
            </w:r>
            <w:r w:rsidDel="00000000" w:rsidR="00000000" w:rsidRPr="00000000">
              <w:rPr>
                <w:rFonts w:ascii="Times New Roman" w:cs="Times New Roman" w:eastAsia="Times New Roman" w:hAnsi="Times New Roman"/>
                <w:color w:val="000000"/>
                <w:sz w:val="24"/>
                <w:szCs w:val="24"/>
                <w:rtl w:val="0"/>
              </w:rPr>
              <w:t xml:space="preserve">]</w:t>
            </w:r>
          </w:p>
        </w:tc>
        <w:tc>
          <w:tcPr/>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240" w:lineRule="auto"/>
              <w:jc w:val="both"/>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240" w:lineRule="auto"/>
              <w:jc w:val="both"/>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240" w:lineRule="auto"/>
              <w:jc w:val="both"/>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Investor</w:t>
            </w:r>
          </w:p>
        </w:tc>
        <w:tc>
          <w:tcPr/>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240" w:lineRule="auto"/>
              <w:jc w:val="both"/>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240" w:lineRule="auto"/>
              <w:jc w:val="both"/>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240" w:lineRule="auto"/>
              <w:jc w:val="both"/>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highlight w:val="darkGray"/>
                <w:rtl w:val="0"/>
              </w:rPr>
              <w:t xml:space="preserve">Additional Investor</w:t>
            </w:r>
            <w:r w:rsidDel="00000000" w:rsidR="00000000" w:rsidRPr="00000000">
              <w:rPr>
                <w:rFonts w:ascii="Times New Roman" w:cs="Times New Roman" w:eastAsia="Times New Roman" w:hAnsi="Times New Roman"/>
                <w:color w:val="000000"/>
                <w:sz w:val="24"/>
                <w:szCs w:val="24"/>
                <w:rtl w:val="0"/>
              </w:rPr>
              <w:t xml:space="preserve">]</w:t>
            </w:r>
          </w:p>
        </w:tc>
        <w:tc>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240" w:lineRule="auto"/>
              <w:jc w:val="both"/>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240" w:lineRule="auto"/>
              <w:jc w:val="both"/>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240" w:lineRule="auto"/>
              <w:jc w:val="both"/>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240" w:lineRule="auto"/>
              <w:jc w:val="both"/>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TOTAL</w:t>
            </w:r>
          </w:p>
        </w:tc>
        <w:tc>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240" w:lineRule="auto"/>
              <w:jc w:val="both"/>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240" w:lineRule="auto"/>
              <w:jc w:val="both"/>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240" w:lineRule="auto"/>
              <w:jc w:val="both"/>
              <w:rPr>
                <w:rFonts w:ascii="Times New Roman" w:cs="Times New Roman" w:eastAsia="Times New Roman" w:hAnsi="Times New Roman"/>
                <w:color w:val="000000"/>
                <w:sz w:val="24"/>
                <w:szCs w:val="24"/>
              </w:rPr>
            </w:pPr>
            <w:r w:rsidDel="00000000" w:rsidR="00000000" w:rsidRPr="00000000">
              <w:rPr>
                <w:rtl w:val="0"/>
              </w:rPr>
            </w:r>
          </w:p>
        </w:tc>
      </w:tr>
    </w:tbl>
    <w:p w:rsidR="00000000" w:rsidDel="00000000" w:rsidP="00000000" w:rsidRDefault="00000000" w:rsidRPr="00000000" w14:paraId="0000007D">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E">
      <w:pPr>
        <w:spacing w:after="0" w:before="0" w:line="24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F">
      <w:pPr>
        <w:pageBreakBefore w:val="1"/>
        <w:numPr>
          <w:ilvl w:val="0"/>
          <w:numId w:val="3"/>
        </w:numPr>
        <w:pBdr>
          <w:top w:space="0" w:sz="0" w:val="nil"/>
          <w:left w:space="0" w:sz="0" w:val="nil"/>
          <w:bottom w:space="0" w:sz="0" w:val="nil"/>
          <w:right w:space="0" w:sz="0" w:val="nil"/>
          <w:between w:space="0" w:sz="0" w:val="nil"/>
        </w:pBdr>
        <w:spacing w:after="0" w:before="240" w:lineRule="auto"/>
        <w:ind w:left="0" w:firstLine="0"/>
        <w:jc w:val="center"/>
        <w:rPr>
          <w:rFonts w:ascii="Times New Roman" w:cs="Times New Roman" w:eastAsia="Times New Roman" w:hAnsi="Times New Roman"/>
          <w:smallCaps w:val="1"/>
          <w:color w:val="000000"/>
          <w:sz w:val="24"/>
          <w:szCs w:val="24"/>
        </w:rPr>
      </w:pPr>
      <w:r w:rsidDel="00000000" w:rsidR="00000000" w:rsidRPr="00000000">
        <w:rPr>
          <w:rFonts w:ascii="Times New Roman" w:cs="Times New Roman" w:eastAsia="Times New Roman" w:hAnsi="Times New Roman"/>
          <w:b w:val="1"/>
          <w:bCs w:val="1"/>
          <w:smallCaps w:val="1"/>
          <w:color w:val="000000"/>
          <w:sz w:val="24"/>
          <w:szCs w:val="24"/>
          <w:rtl w:val="0"/>
        </w:rPr>
        <w:br w:type="textWrapping"/>
        <w:t xml:space="preserve">R</w:t>
      </w:r>
      <w:r w:rsidDel="00000000" w:rsidR="00000000" w:rsidRPr="00000000">
        <w:rPr>
          <w:rFonts w:ascii="Times New Roman" w:cs="Times New Roman" w:eastAsia="Times New Roman" w:hAnsi="Times New Roman"/>
          <w:b w:val="1"/>
          <w:bCs w:val="1"/>
          <w:smallCaps w:val="1"/>
          <w:sz w:val="24"/>
          <w:szCs w:val="24"/>
          <w:rtl w:val="0"/>
        </w:rPr>
        <w:t xml:space="preserve">ESERVED MATTERS</w:t>
      </w:r>
      <w:r w:rsidDel="00000000" w:rsidR="00000000" w:rsidRPr="00000000">
        <w:rPr>
          <w:rtl w:val="0"/>
        </w:rPr>
      </w:r>
    </w:p>
    <w:p w:rsidR="00000000" w:rsidDel="00000000" w:rsidP="00000000" w:rsidRDefault="00000000" w:rsidRPr="00000000" w14:paraId="00000080">
      <w:pPr>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keepNext w:val="1"/>
        <w:pBdr>
          <w:top w:space="0" w:sz="0" w:val="nil"/>
          <w:left w:space="0" w:sz="0" w:val="nil"/>
          <w:bottom w:space="0" w:sz="0" w:val="nil"/>
          <w:right w:space="0" w:sz="0" w:val="nil"/>
          <w:between w:space="0" w:sz="0" w:val="nil"/>
        </w:pBdr>
        <w:spacing w:after="240" w:before="0" w:line="240" w:lineRule="auto"/>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Part 1 - Investor Consent Matters</w:t>
      </w:r>
    </w:p>
    <w:p w:rsidR="00000000" w:rsidDel="00000000" w:rsidP="00000000" w:rsidRDefault="00000000" w:rsidRPr="00000000" w14:paraId="00000082">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approval of the Investor Majority will be required to:</w:t>
      </w:r>
    </w:p>
    <w:p w:rsidR="00000000" w:rsidDel="00000000" w:rsidP="00000000" w:rsidRDefault="00000000" w:rsidRPr="00000000" w14:paraId="00000083">
      <w:pPr>
        <w:numPr>
          <w:ilvl w:val="0"/>
          <w:numId w:val="1"/>
        </w:numPr>
        <w:pBdr>
          <w:top w:space="0" w:sz="0" w:val="nil"/>
          <w:left w:space="0" w:sz="0" w:val="nil"/>
          <w:bottom w:space="0" w:sz="0" w:val="nil"/>
          <w:right w:space="0" w:sz="0" w:val="nil"/>
          <w:between w:space="0" w:sz="0" w:val="nil"/>
        </w:pBdr>
        <w:spacing w:after="240" w:line="240" w:lineRule="auto"/>
        <w:ind w:left="720" w:hanging="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amend the Articles of Association of the Company;</w:t>
      </w:r>
    </w:p>
    <w:p w:rsidR="00000000" w:rsidDel="00000000" w:rsidP="00000000" w:rsidRDefault="00000000" w:rsidRPr="00000000" w14:paraId="00000084">
      <w:pPr>
        <w:numPr>
          <w:ilvl w:val="0"/>
          <w:numId w:val="1"/>
        </w:numPr>
        <w:pBdr>
          <w:top w:space="0" w:sz="0" w:val="nil"/>
          <w:left w:space="0" w:sz="0" w:val="nil"/>
          <w:bottom w:space="0" w:sz="0" w:val="nil"/>
          <w:right w:space="0" w:sz="0" w:val="nil"/>
          <w:between w:space="0" w:sz="0" w:val="nil"/>
        </w:pBdr>
        <w:spacing w:after="240" w:line="240" w:lineRule="auto"/>
        <w:ind w:left="720" w:hanging="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increasing or decreasing the registered capital of the Company and issuing a financial instrument (e.g. convertible note, warrant) related to further capital investment;</w:t>
      </w:r>
    </w:p>
    <w:p w:rsidR="00000000" w:rsidDel="00000000" w:rsidP="00000000" w:rsidRDefault="00000000" w:rsidRPr="00000000" w14:paraId="00000085">
      <w:pPr>
        <w:numPr>
          <w:ilvl w:val="0"/>
          <w:numId w:val="1"/>
        </w:numPr>
        <w:pBdr>
          <w:top w:space="0" w:sz="0" w:val="nil"/>
          <w:left w:space="0" w:sz="0" w:val="nil"/>
          <w:bottom w:space="0" w:sz="0" w:val="nil"/>
          <w:right w:space="0" w:sz="0" w:val="nil"/>
          <w:between w:space="0" w:sz="0" w:val="nil"/>
        </w:pBdr>
        <w:ind w:left="720" w:hanging="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amending the objective/main activity of the Company;  </w:t>
      </w:r>
    </w:p>
    <w:p w:rsidR="00000000" w:rsidDel="00000000" w:rsidP="00000000" w:rsidRDefault="00000000" w:rsidRPr="00000000" w14:paraId="00000086">
      <w:pPr>
        <w:numPr>
          <w:ilvl w:val="0"/>
          <w:numId w:val="1"/>
        </w:numPr>
        <w:pBdr>
          <w:top w:space="0" w:sz="0" w:val="nil"/>
          <w:left w:space="0" w:sz="0" w:val="nil"/>
          <w:bottom w:space="0" w:sz="0" w:val="nil"/>
          <w:right w:space="0" w:sz="0" w:val="nil"/>
          <w:between w:space="0" w:sz="0" w:val="nil"/>
        </w:pBdr>
        <w:spacing w:after="240" w:line="240" w:lineRule="auto"/>
        <w:ind w:left="720" w:hanging="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acquire any new business, shares, other securities, or any other interest in any entity;</w:t>
      </w:r>
    </w:p>
    <w:p w:rsidR="00000000" w:rsidDel="00000000" w:rsidP="00000000" w:rsidRDefault="00000000" w:rsidRPr="00000000" w14:paraId="00000087">
      <w:pPr>
        <w:numPr>
          <w:ilvl w:val="0"/>
          <w:numId w:val="1"/>
        </w:numPr>
        <w:pBdr>
          <w:top w:space="0" w:sz="0" w:val="nil"/>
          <w:left w:space="0" w:sz="0" w:val="nil"/>
          <w:bottom w:space="0" w:sz="0" w:val="nil"/>
          <w:right w:space="0" w:sz="0" w:val="nil"/>
          <w:between w:space="0" w:sz="0" w:val="nil"/>
        </w:pBdr>
        <w:spacing w:after="0" w:lineRule="auto"/>
        <w:ind w:left="720" w:hanging="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granting the consent for the transfer of any quota to a third person by a quotaholder and to exercise the right to acquire the quota before third parties (pre-emption right) regarding the subject of the transfer, and to appoint a third person to exercise that right;</w: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0" w:before="0" w:lineRule="auto"/>
        <w:ind w:left="72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9">
      <w:pPr>
        <w:numPr>
          <w:ilvl w:val="0"/>
          <w:numId w:val="1"/>
        </w:numPr>
        <w:pBdr>
          <w:top w:space="0" w:sz="0" w:val="nil"/>
          <w:left w:space="0" w:sz="0" w:val="nil"/>
          <w:bottom w:space="0" w:sz="0" w:val="nil"/>
          <w:right w:space="0" w:sz="0" w:val="nil"/>
          <w:between w:space="0" w:sz="0" w:val="nil"/>
        </w:pBdr>
        <w:spacing w:after="0" w:before="0" w:lineRule="auto"/>
        <w:ind w:left="720" w:hanging="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transferring the intellectual property or the intellectual property rights of the Company to third party (excluding the ordinary course of business of the Company), concluding, amending or terminating a license agreement thereon, furthermore, encumbering the above;</w:t>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before="0" w:lineRule="auto"/>
        <w:ind w:left="72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B">
      <w:pPr>
        <w:numPr>
          <w:ilvl w:val="0"/>
          <w:numId w:val="1"/>
        </w:numPr>
        <w:pBdr>
          <w:top w:space="0" w:sz="0" w:val="nil"/>
          <w:left w:space="0" w:sz="0" w:val="nil"/>
          <w:bottom w:space="0" w:sz="0" w:val="nil"/>
          <w:right w:space="0" w:sz="0" w:val="nil"/>
          <w:between w:space="0" w:sz="0" w:val="nil"/>
        </w:pBdr>
        <w:spacing w:before="0" w:lineRule="auto"/>
        <w:ind w:left="720" w:hanging="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election, removal of the Managing Director or the management body (if any);</w:t>
      </w:r>
    </w:p>
    <w:p w:rsidR="00000000" w:rsidDel="00000000" w:rsidP="00000000" w:rsidRDefault="00000000" w:rsidRPr="00000000" w14:paraId="0000008C">
      <w:pPr>
        <w:numPr>
          <w:ilvl w:val="0"/>
          <w:numId w:val="1"/>
        </w:numPr>
        <w:pBdr>
          <w:top w:space="0" w:sz="0" w:val="nil"/>
          <w:left w:space="0" w:sz="0" w:val="nil"/>
          <w:bottom w:space="0" w:sz="0" w:val="nil"/>
          <w:right w:space="0" w:sz="0" w:val="nil"/>
          <w:between w:space="0" w:sz="0" w:val="nil"/>
        </w:pBdr>
        <w:spacing w:after="240" w:line="240" w:lineRule="auto"/>
        <w:ind w:left="720" w:hanging="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sell or otherwise deal with assets other than in ordinary course of business; and</w:t>
      </w:r>
    </w:p>
    <w:p w:rsidR="00000000" w:rsidDel="00000000" w:rsidP="00000000" w:rsidRDefault="00000000" w:rsidRPr="00000000" w14:paraId="0000008D">
      <w:pPr>
        <w:numPr>
          <w:ilvl w:val="0"/>
          <w:numId w:val="1"/>
        </w:numPr>
        <w:pBdr>
          <w:top w:space="0" w:sz="0" w:val="nil"/>
          <w:left w:space="0" w:sz="0" w:val="nil"/>
          <w:bottom w:space="0" w:sz="0" w:val="nil"/>
          <w:right w:space="0" w:sz="0" w:val="nil"/>
          <w:between w:space="0" w:sz="0" w:val="nil"/>
        </w:pBdr>
        <w:spacing w:after="240" w:line="240" w:lineRule="auto"/>
        <w:ind w:left="720" w:hanging="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winding-up, transformation, merger, division and dissolution without succession of the Company.</w:t>
      </w:r>
    </w:p>
    <w:p w:rsidR="00000000" w:rsidDel="00000000" w:rsidP="00000000" w:rsidRDefault="00000000" w:rsidRPr="00000000" w14:paraId="0000008E">
      <w:pPr>
        <w:rPr>
          <w:rFonts w:ascii="Times New Roman" w:cs="Times New Roman" w:eastAsia="Times New Roman" w:hAnsi="Times New Roman"/>
          <w:b w:val="1"/>
          <w:bCs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F">
      <w:pPr>
        <w:keepNext w:val="1"/>
        <w:pBdr>
          <w:top w:space="0" w:sz="0" w:val="nil"/>
          <w:left w:space="0" w:sz="0" w:val="nil"/>
          <w:bottom w:space="0" w:sz="0" w:val="nil"/>
          <w:right w:space="0" w:sz="0" w:val="nil"/>
          <w:between w:space="0" w:sz="0" w:val="nil"/>
        </w:pBdr>
        <w:spacing w:after="240" w:before="0" w:line="240" w:lineRule="auto"/>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[Part 2 – Quotaholder’s Committee Consent Matters] </w:t>
      </w:r>
    </w:p>
    <w:p w:rsidR="00000000" w:rsidDel="00000000" w:rsidP="00000000" w:rsidRDefault="00000000" w:rsidRPr="00000000" w14:paraId="00000090">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following matters are to be approved by the Quotaholder’s Committee, including each members appointed by the Investor[s]:</w:t>
      </w:r>
    </w:p>
    <w:p w:rsidR="00000000" w:rsidDel="00000000" w:rsidP="00000000" w:rsidRDefault="00000000" w:rsidRPr="00000000" w14:paraId="00000091">
      <w:pPr>
        <w:keepNext w:val="1"/>
        <w:numPr>
          <w:ilvl w:val="0"/>
          <w:numId w:val="2"/>
        </w:numPr>
        <w:pBdr>
          <w:top w:space="0" w:sz="0" w:val="nil"/>
          <w:left w:space="0" w:sz="0" w:val="nil"/>
          <w:bottom w:space="0" w:sz="0" w:val="nil"/>
          <w:right w:space="0" w:sz="0" w:val="nil"/>
          <w:between w:space="0" w:sz="0" w:val="nil"/>
        </w:pBdr>
        <w:spacing w:after="240" w:line="240" w:lineRule="auto"/>
        <w:ind w:left="720" w:hanging="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any change to the business plan (after the same has been adopted);</w:t>
      </w:r>
    </w:p>
    <w:p w:rsidR="00000000" w:rsidDel="00000000" w:rsidP="00000000" w:rsidRDefault="00000000" w:rsidRPr="00000000" w14:paraId="00000092">
      <w:pPr>
        <w:numPr>
          <w:ilvl w:val="0"/>
          <w:numId w:val="2"/>
        </w:numPr>
        <w:pBdr>
          <w:top w:space="0" w:sz="0" w:val="nil"/>
          <w:left w:space="0" w:sz="0" w:val="nil"/>
          <w:bottom w:space="0" w:sz="0" w:val="nil"/>
          <w:right w:space="0" w:sz="0" w:val="nil"/>
          <w:between w:space="0" w:sz="0" w:val="nil"/>
        </w:pBdr>
        <w:spacing w:after="240" w:line="240" w:lineRule="auto"/>
        <w:ind w:left="720" w:hanging="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declare any dividend;</w:t>
      </w:r>
    </w:p>
    <w:p w:rsidR="00000000" w:rsidDel="00000000" w:rsidP="00000000" w:rsidRDefault="00000000" w:rsidRPr="00000000" w14:paraId="00000093">
      <w:pPr>
        <w:numPr>
          <w:ilvl w:val="0"/>
          <w:numId w:val="2"/>
        </w:numPr>
        <w:pBdr>
          <w:top w:space="0" w:sz="0" w:val="nil"/>
          <w:left w:space="0" w:sz="0" w:val="nil"/>
          <w:bottom w:space="0" w:sz="0" w:val="nil"/>
          <w:right w:space="0" w:sz="0" w:val="nil"/>
          <w:between w:space="0" w:sz="0" w:val="nil"/>
        </w:pBdr>
        <w:spacing w:after="240" w:line="240" w:lineRule="auto"/>
        <w:ind w:left="720" w:hanging="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approving the conditions of the employee stock option plan and the amendments of the program or vesting terms, approving allocation under the employee stock option plan;</w:t>
      </w:r>
    </w:p>
    <w:p w:rsidR="00000000" w:rsidDel="00000000" w:rsidP="00000000" w:rsidRDefault="00000000" w:rsidRPr="00000000" w14:paraId="00000094">
      <w:pPr>
        <w:numPr>
          <w:ilvl w:val="0"/>
          <w:numId w:val="2"/>
        </w:numPr>
        <w:pBdr>
          <w:top w:space="0" w:sz="0" w:val="nil"/>
          <w:left w:space="0" w:sz="0" w:val="nil"/>
          <w:bottom w:space="0" w:sz="0" w:val="nil"/>
          <w:right w:space="0" w:sz="0" w:val="nil"/>
          <w:between w:space="0" w:sz="0" w:val="nil"/>
        </w:pBdr>
        <w:spacing w:after="240" w:line="240" w:lineRule="auto"/>
        <w:ind w:left="720" w:hanging="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approve annual budgets;</w:t>
      </w:r>
    </w:p>
    <w:p w:rsidR="00000000" w:rsidDel="00000000" w:rsidP="00000000" w:rsidRDefault="00000000" w:rsidRPr="00000000" w14:paraId="00000095">
      <w:pPr>
        <w:numPr>
          <w:ilvl w:val="0"/>
          <w:numId w:val="2"/>
        </w:numPr>
        <w:pBdr>
          <w:top w:space="0" w:sz="0" w:val="nil"/>
          <w:left w:space="0" w:sz="0" w:val="nil"/>
          <w:bottom w:space="0" w:sz="0" w:val="nil"/>
          <w:right w:space="0" w:sz="0" w:val="nil"/>
          <w:between w:space="0" w:sz="0" w:val="nil"/>
        </w:pBdr>
        <w:spacing w:after="240" w:line="240" w:lineRule="auto"/>
        <w:ind w:left="720" w:hanging="720"/>
        <w:jc w:val="both"/>
        <w:rPr>
          <w:rFonts w:ascii="Georgia" w:cs="Georgia" w:eastAsia="Georgia" w:hAnsi="Georgia"/>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agree any borrowings, loans, advances, operative and financial leasing contract or credit outside the annual budget over EUR [</w:t>
      </w:r>
      <w:r w:rsidDel="00000000" w:rsidR="00000000" w:rsidRPr="00000000">
        <w:rPr>
          <w:rFonts w:ascii="Times New Roman" w:cs="Times New Roman" w:eastAsia="Times New Roman" w:hAnsi="Times New Roman"/>
          <w:color w:val="000000"/>
          <w:sz w:val="24"/>
          <w:szCs w:val="24"/>
          <w:highlight w:val="darkGray"/>
          <w:rtl w:val="0"/>
        </w:rPr>
        <w:t xml:space="preserve">●</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96">
      <w:pPr>
        <w:numPr>
          <w:ilvl w:val="0"/>
          <w:numId w:val="2"/>
        </w:numPr>
        <w:pBdr>
          <w:top w:space="0" w:sz="0" w:val="nil"/>
          <w:left w:space="0" w:sz="0" w:val="nil"/>
          <w:bottom w:space="0" w:sz="0" w:val="nil"/>
          <w:right w:space="0" w:sz="0" w:val="nil"/>
          <w:between w:space="0" w:sz="0" w:val="nil"/>
        </w:pBdr>
        <w:spacing w:after="240" w:line="240" w:lineRule="auto"/>
        <w:ind w:left="720" w:hanging="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create charges or any other encumbrances;</w:t>
      </w:r>
    </w:p>
    <w:p w:rsidR="00000000" w:rsidDel="00000000" w:rsidP="00000000" w:rsidRDefault="00000000" w:rsidRPr="00000000" w14:paraId="00000097">
      <w:pPr>
        <w:numPr>
          <w:ilvl w:val="0"/>
          <w:numId w:val="2"/>
        </w:numPr>
        <w:pBdr>
          <w:top w:space="0" w:sz="0" w:val="nil"/>
          <w:left w:space="0" w:sz="0" w:val="nil"/>
          <w:bottom w:space="0" w:sz="0" w:val="nil"/>
          <w:right w:space="0" w:sz="0" w:val="nil"/>
          <w:between w:space="0" w:sz="0" w:val="nil"/>
        </w:pBdr>
        <w:spacing w:after="240" w:line="240" w:lineRule="auto"/>
        <w:ind w:left="720" w:hanging="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create any subsidiaries/joint ventures;</w:t>
      </w:r>
    </w:p>
    <w:p w:rsidR="00000000" w:rsidDel="00000000" w:rsidP="00000000" w:rsidRDefault="00000000" w:rsidRPr="00000000" w14:paraId="00000098">
      <w:pPr>
        <w:numPr>
          <w:ilvl w:val="0"/>
          <w:numId w:val="2"/>
        </w:numPr>
        <w:pBdr>
          <w:top w:space="0" w:sz="0" w:val="nil"/>
          <w:left w:space="0" w:sz="0" w:val="nil"/>
          <w:bottom w:space="0" w:sz="0" w:val="nil"/>
          <w:right w:space="0" w:sz="0" w:val="nil"/>
          <w:between w:space="0" w:sz="0" w:val="nil"/>
        </w:pBdr>
        <w:spacing w:after="240" w:line="240" w:lineRule="auto"/>
        <w:ind w:left="720" w:hanging="720"/>
        <w:jc w:val="both"/>
        <w:rPr>
          <w:rFonts w:ascii="Georgia" w:cs="Georgia" w:eastAsia="Georgia" w:hAnsi="Georgia"/>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incur development or capital expenditure outside the annual budget over EUR [</w:t>
      </w:r>
      <w:r w:rsidDel="00000000" w:rsidR="00000000" w:rsidRPr="00000000">
        <w:rPr>
          <w:rFonts w:ascii="Times New Roman" w:cs="Times New Roman" w:eastAsia="Times New Roman" w:hAnsi="Times New Roman"/>
          <w:color w:val="000000"/>
          <w:sz w:val="24"/>
          <w:szCs w:val="24"/>
          <w:highlight w:val="darkGray"/>
          <w:rtl w:val="0"/>
        </w:rPr>
        <w:t xml:space="preserve">●</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99">
      <w:pPr>
        <w:numPr>
          <w:ilvl w:val="0"/>
          <w:numId w:val="2"/>
        </w:numPr>
        <w:pBdr>
          <w:top w:space="0" w:sz="0" w:val="nil"/>
          <w:left w:space="0" w:sz="0" w:val="nil"/>
          <w:bottom w:space="0" w:sz="0" w:val="nil"/>
          <w:right w:space="0" w:sz="0" w:val="nil"/>
          <w:between w:space="0" w:sz="0" w:val="nil"/>
        </w:pBdr>
        <w:spacing w:after="240" w:line="240" w:lineRule="auto"/>
        <w:ind w:left="720" w:hanging="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agree or vary the remuneration/service terms of directors of the Company, the Company’s key personal defined in the Investment and Quotaholders’ Agreement and any subsidiary companies;</w:t>
      </w:r>
    </w:p>
    <w:p w:rsidR="00000000" w:rsidDel="00000000" w:rsidP="00000000" w:rsidRDefault="00000000" w:rsidRPr="00000000" w14:paraId="0000009A">
      <w:pPr>
        <w:numPr>
          <w:ilvl w:val="0"/>
          <w:numId w:val="2"/>
        </w:numPr>
        <w:pBdr>
          <w:top w:space="0" w:sz="0" w:val="nil"/>
          <w:left w:space="0" w:sz="0" w:val="nil"/>
          <w:bottom w:space="0" w:sz="0" w:val="nil"/>
          <w:right w:space="0" w:sz="0" w:val="nil"/>
          <w:between w:space="0" w:sz="0" w:val="nil"/>
        </w:pBdr>
        <w:spacing w:after="240" w:line="240" w:lineRule="auto"/>
        <w:ind w:left="720" w:hanging="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approval of the contracts and their amendments concluded with the Founders, the Company’s key personal defined in the Investment and Quotaholders’ Agreement, the managing director or his/her affiliated companies or his/her close relatives; </w:t>
      </w:r>
    </w:p>
    <w:p w:rsidR="00000000" w:rsidDel="00000000" w:rsidP="00000000" w:rsidRDefault="00000000" w:rsidRPr="00000000" w14:paraId="0000009B">
      <w:pPr>
        <w:numPr>
          <w:ilvl w:val="0"/>
          <w:numId w:val="2"/>
        </w:numPr>
        <w:pBdr>
          <w:top w:space="0" w:sz="0" w:val="nil"/>
          <w:left w:space="0" w:sz="0" w:val="nil"/>
          <w:bottom w:space="0" w:sz="0" w:val="nil"/>
          <w:right w:space="0" w:sz="0" w:val="nil"/>
          <w:between w:space="0" w:sz="0" w:val="nil"/>
        </w:pBdr>
        <w:spacing w:after="240" w:line="240" w:lineRule="auto"/>
        <w:ind w:left="720" w:hanging="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acquire real estate or engage in other real estate-related matters;</w:t>
      </w:r>
    </w:p>
    <w:p w:rsidR="00000000" w:rsidDel="00000000" w:rsidP="00000000" w:rsidRDefault="00000000" w:rsidRPr="00000000" w14:paraId="0000009C">
      <w:pPr>
        <w:numPr>
          <w:ilvl w:val="0"/>
          <w:numId w:val="2"/>
        </w:numPr>
        <w:pBdr>
          <w:top w:space="0" w:sz="0" w:val="nil"/>
          <w:left w:space="0" w:sz="0" w:val="nil"/>
          <w:bottom w:space="0" w:sz="0" w:val="nil"/>
          <w:right w:space="0" w:sz="0" w:val="nil"/>
          <w:between w:space="0" w:sz="0" w:val="nil"/>
        </w:pBdr>
        <w:spacing w:after="240" w:line="240" w:lineRule="auto"/>
        <w:ind w:left="720" w:hanging="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commence or settle litigation;</w:t>
      </w:r>
    </w:p>
    <w:p w:rsidR="00000000" w:rsidDel="00000000" w:rsidP="00000000" w:rsidRDefault="00000000" w:rsidRPr="00000000" w14:paraId="0000009D">
      <w:pPr>
        <w:numPr>
          <w:ilvl w:val="0"/>
          <w:numId w:val="2"/>
        </w:numPr>
        <w:pBdr>
          <w:top w:space="0" w:sz="0" w:val="nil"/>
          <w:left w:space="0" w:sz="0" w:val="nil"/>
          <w:bottom w:space="0" w:sz="0" w:val="nil"/>
          <w:right w:space="0" w:sz="0" w:val="nil"/>
          <w:between w:space="0" w:sz="0" w:val="nil"/>
        </w:pBdr>
        <w:spacing w:after="240" w:line="240" w:lineRule="auto"/>
        <w:ind w:left="720" w:hanging="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assign or license any of the intellectual property rights of the Company;</w:t>
      </w:r>
    </w:p>
    <w:p w:rsidR="00000000" w:rsidDel="00000000" w:rsidP="00000000" w:rsidRDefault="00000000" w:rsidRPr="00000000" w14:paraId="0000009E">
      <w:pPr>
        <w:numPr>
          <w:ilvl w:val="0"/>
          <w:numId w:val="2"/>
        </w:numPr>
        <w:pBdr>
          <w:top w:space="0" w:sz="0" w:val="nil"/>
          <w:left w:space="0" w:sz="0" w:val="nil"/>
          <w:bottom w:space="0" w:sz="0" w:val="nil"/>
          <w:right w:space="0" w:sz="0" w:val="nil"/>
          <w:between w:space="0" w:sz="0" w:val="nil"/>
        </w:pBdr>
        <w:spacing w:after="240" w:line="240" w:lineRule="auto"/>
        <w:ind w:left="720" w:hanging="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any guarantees/indemnities other than in ordinary course of business;</w:t>
      </w:r>
    </w:p>
    <w:p w:rsidR="00000000" w:rsidDel="00000000" w:rsidP="00000000" w:rsidRDefault="00000000" w:rsidRPr="00000000" w14:paraId="0000009F">
      <w:pPr>
        <w:numPr>
          <w:ilvl w:val="0"/>
          <w:numId w:val="2"/>
        </w:numPr>
        <w:pBdr>
          <w:top w:space="0" w:sz="0" w:val="nil"/>
          <w:left w:space="0" w:sz="0" w:val="nil"/>
          <w:bottom w:space="0" w:sz="0" w:val="nil"/>
          <w:right w:space="0" w:sz="0" w:val="nil"/>
          <w:between w:space="0" w:sz="0" w:val="nil"/>
        </w:pBdr>
        <w:spacing w:after="240" w:line="240" w:lineRule="auto"/>
        <w:ind w:left="720" w:hanging="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any material agreement other than in ordinary course of business;</w:t>
      </w:r>
    </w:p>
    <w:p w:rsidR="00000000" w:rsidDel="00000000" w:rsidP="00000000" w:rsidRDefault="00000000" w:rsidRPr="00000000" w14:paraId="000000A0">
      <w:pPr>
        <w:numPr>
          <w:ilvl w:val="0"/>
          <w:numId w:val="2"/>
        </w:numPr>
        <w:pBdr>
          <w:top w:space="0" w:sz="0" w:val="nil"/>
          <w:left w:space="0" w:sz="0" w:val="nil"/>
          <w:bottom w:space="0" w:sz="0" w:val="nil"/>
          <w:right w:space="0" w:sz="0" w:val="nil"/>
          <w:between w:space="0" w:sz="0" w:val="nil"/>
        </w:pBdr>
        <w:spacing w:after="240" w:line="240" w:lineRule="auto"/>
        <w:ind w:left="720" w:hanging="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any change of auditor/accounting reference date/accounting policies; and</w:t>
      </w:r>
    </w:p>
    <w:p w:rsidR="00000000" w:rsidDel="00000000" w:rsidP="00000000" w:rsidRDefault="00000000" w:rsidRPr="00000000" w14:paraId="000000A1">
      <w:pPr>
        <w:numPr>
          <w:ilvl w:val="0"/>
          <w:numId w:val="2"/>
        </w:numPr>
        <w:pBdr>
          <w:top w:space="0" w:sz="0" w:val="nil"/>
          <w:left w:space="0" w:sz="0" w:val="nil"/>
          <w:bottom w:space="0" w:sz="0" w:val="nil"/>
          <w:right w:space="0" w:sz="0" w:val="nil"/>
          <w:between w:space="0" w:sz="0" w:val="nil"/>
        </w:pBdr>
        <w:spacing w:after="240" w:line="240" w:lineRule="auto"/>
        <w:ind w:left="720" w:hanging="720"/>
        <w:jc w:val="both"/>
        <w:rPr>
          <w:rFonts w:ascii="Georgia" w:cs="Georgia" w:eastAsia="Georgia" w:hAnsi="Georgia"/>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any appointment of an employee or variation of terms where emoluments exceed EUR [</w:t>
      </w:r>
      <w:r w:rsidDel="00000000" w:rsidR="00000000" w:rsidRPr="00000000">
        <w:rPr>
          <w:rFonts w:ascii="Times New Roman" w:cs="Times New Roman" w:eastAsia="Times New Roman" w:hAnsi="Times New Roman"/>
          <w:color w:val="000000"/>
          <w:sz w:val="24"/>
          <w:szCs w:val="24"/>
          <w:highlight w:val="darkGray"/>
          <w:rtl w:val="0"/>
        </w:rPr>
        <w:t xml:space="preserve">●</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A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Materiality and other financial limits for the above to be discussed. The above lists are not comprehensive and are only intended to provide a guide to the type of reserved matters that are likely to be included in the Investment and Quotaholders’ Agreement.</w:t>
      </w:r>
    </w:p>
    <w:sectPr>
      <w:headerReference r:id="rId7" w:type="default"/>
      <w:headerReference r:id="rId8" w:type="first"/>
      <w:headerReference r:id="rId9" w:type="even"/>
      <w:footerReference r:id="rId10" w:type="default"/>
      <w:footerReference r:id="rId11" w:type="first"/>
      <w:footerReference r:id="rId12" w:type="even"/>
      <w:pgSz w:h="16840" w:w="11901" w:orient="portrait"/>
      <w:pgMar w:bottom="1417" w:top="1417" w:left="1417" w:right="1417" w:header="288" w:footer="28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Unbounded">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sz w:val="18"/>
        <w:szCs w:val="18"/>
      </w:rPr>
    </w:pPr>
    <w:r w:rsidDel="00000000" w:rsidR="00000000" w:rsidRPr="00000000">
      <w:rPr>
        <w:color w:val="000000"/>
        <w:sz w:val="18"/>
        <w:szCs w:val="1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center" w:leader="none" w:pos="4320"/>
        <w:tab w:val="right" w:leader="none" w:pos="8640"/>
      </w:tabs>
      <w:ind w:right="360"/>
      <w:rPr>
        <w:color w:val="000000"/>
        <w:sz w:val="18"/>
        <w:szCs w:val="18"/>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B">
    <w:pPr>
      <w:tabs>
        <w:tab w:val="center" w:leader="none" w:pos="4536"/>
        <w:tab w:val="right" w:leader="none" w:pos="9072"/>
      </w:tabs>
      <w:spacing w:after="0" w:before="0" w:line="240" w:lineRule="auto"/>
      <w:jc w:val="right"/>
      <w:rPr>
        <w:rFonts w:ascii="Calibri" w:cs="Calibri" w:eastAsia="Calibri" w:hAnsi="Calibri"/>
        <w:sz w:val="22"/>
        <w:szCs w:val="22"/>
      </w:rPr>
    </w:pPr>
    <w:r w:rsidDel="00000000" w:rsidR="00000000" w:rsidRPr="00000000">
      <w:rPr>
        <w:rFonts w:ascii="Calibri" w:cs="Calibri" w:eastAsia="Calibri" w:hAnsi="Calibri"/>
        <w:sz w:val="22"/>
        <w:szCs w:val="2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C">
    <w:pPr>
      <w:pBdr>
        <w:top w:color="000000" w:space="2" w:sz="18" w:val="single"/>
      </w:pBdr>
      <w:spacing w:after="0" w:before="200" w:line="240" w:lineRule="auto"/>
      <w:ind w:left="-1440" w:right="-1440" w:firstLine="720"/>
      <w:rPr>
        <w:sz w:val="22"/>
        <w:szCs w:val="22"/>
      </w:rPr>
    </w:pPr>
    <w:r w:rsidDel="00000000" w:rsidR="00000000" w:rsidRPr="00000000">
      <w:rPr>
        <w:rFonts w:ascii="Unbounded" w:cs="Unbounded" w:eastAsia="Unbounded" w:hAnsi="Unbounded"/>
        <w:sz w:val="22"/>
        <w:szCs w:val="22"/>
        <w:rtl w:val="0"/>
      </w:rPr>
      <w:br w:type="textWrapping"/>
      <w:tab/>
      <w:t xml:space="preserve">IN COLLABORATION WITH</w:t>
      <w:br w:type="textWrapp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2793365</wp:posOffset>
          </wp:positionH>
          <wp:positionV relativeFrom="paragraph">
            <wp:posOffset>41275</wp:posOffset>
          </wp:positionV>
          <wp:extent cx="58420" cy="60667"/>
          <wp:effectExtent b="0" l="0" r="0" t="0"/>
          <wp:wrapNone/>
          <wp:docPr id="7" name="image12.png"/>
          <a:graphic>
            <a:graphicData uri="http://schemas.openxmlformats.org/drawingml/2006/picture">
              <pic:pic>
                <pic:nvPicPr>
                  <pic:cNvPr id="0" name="image12.png"/>
                  <pic:cNvPicPr preferRelativeResize="0"/>
                </pic:nvPicPr>
                <pic:blipFill>
                  <a:blip r:embed="rId1"/>
                  <a:srcRect b="0" l="0" r="0" t="0"/>
                  <a:stretch>
                    <a:fillRect/>
                  </a:stretch>
                </pic:blipFill>
                <pic:spPr>
                  <a:xfrm>
                    <a:off x="0" y="0"/>
                    <a:ext cx="58420" cy="60667"/>
                  </a:xfrm>
                  <a:prstGeom prst="rect"/>
                  <a:ln/>
                </pic:spPr>
              </pic:pic>
            </a:graphicData>
          </a:graphic>
        </wp:anchor>
      </w:drawing>
    </w:r>
  </w:p>
  <w:p w:rsidR="00000000" w:rsidDel="00000000" w:rsidP="00000000" w:rsidRDefault="00000000" w:rsidRPr="00000000" w14:paraId="000000AD">
    <w:pPr>
      <w:spacing w:after="0" w:before="0" w:line="240" w:lineRule="auto"/>
      <w:ind w:left="-540" w:right="-360" w:firstLine="0"/>
      <w:jc w:val="center"/>
      <w:rPr>
        <w:sz w:val="22"/>
        <w:szCs w:val="22"/>
      </w:rPr>
    </w:pPr>
    <w:r w:rsidDel="00000000" w:rsidR="00000000" w:rsidRPr="00000000">
      <w:rPr>
        <w:sz w:val="22"/>
        <w:szCs w:val="22"/>
      </w:rPr>
      <w:drawing>
        <wp:inline distB="114300" distT="114300" distL="114300" distR="114300">
          <wp:extent cx="1014413" cy="361950"/>
          <wp:effectExtent b="0" l="0" r="0" t="0"/>
          <wp:docPr id="13" name="image3.png"/>
          <a:graphic>
            <a:graphicData uri="http://schemas.openxmlformats.org/drawingml/2006/picture">
              <pic:pic>
                <pic:nvPicPr>
                  <pic:cNvPr id="0" name="image3.png"/>
                  <pic:cNvPicPr preferRelativeResize="0"/>
                </pic:nvPicPr>
                <pic:blipFill>
                  <a:blip r:embed="rId2"/>
                  <a:srcRect b="32934" l="0" r="0" t="31736"/>
                  <a:stretch>
                    <a:fillRect/>
                  </a:stretch>
                </pic:blipFill>
                <pic:spPr>
                  <a:xfrm>
                    <a:off x="0" y="0"/>
                    <a:ext cx="1014413" cy="361950"/>
                  </a:xfrm>
                  <a:prstGeom prst="rect"/>
                  <a:ln/>
                </pic:spPr>
              </pic:pic>
            </a:graphicData>
          </a:graphic>
        </wp:inline>
      </w:drawing>
    </w:r>
    <w:r w:rsidDel="00000000" w:rsidR="00000000" w:rsidRPr="00000000">
      <w:rPr>
        <w:sz w:val="22"/>
        <w:szCs w:val="22"/>
        <w:rtl w:val="0"/>
      </w:rPr>
      <w:tab/>
    </w:r>
    <w:r w:rsidDel="00000000" w:rsidR="00000000" w:rsidRPr="00000000">
      <w:rPr>
        <w:rFonts w:ascii="Unbounded" w:cs="Unbounded" w:eastAsia="Unbounded" w:hAnsi="Unbounded"/>
        <w:sz w:val="22"/>
        <w:szCs w:val="22"/>
      </w:rPr>
      <w:drawing>
        <wp:inline distB="114300" distT="114300" distL="114300" distR="114300">
          <wp:extent cx="671513" cy="304800"/>
          <wp:effectExtent b="0" l="0" r="0" t="0"/>
          <wp:docPr id="1" name="image8.png"/>
          <a:graphic>
            <a:graphicData uri="http://schemas.openxmlformats.org/drawingml/2006/picture">
              <pic:pic>
                <pic:nvPicPr>
                  <pic:cNvPr id="0" name="image8.png"/>
                  <pic:cNvPicPr preferRelativeResize="0"/>
                </pic:nvPicPr>
                <pic:blipFill>
                  <a:blip r:embed="rId3"/>
                  <a:srcRect b="33005" l="13385" r="12598" t="32113"/>
                  <a:stretch>
                    <a:fillRect/>
                  </a:stretch>
                </pic:blipFill>
                <pic:spPr>
                  <a:xfrm>
                    <a:off x="0" y="0"/>
                    <a:ext cx="671513" cy="304800"/>
                  </a:xfrm>
                  <a:prstGeom prst="rect"/>
                  <a:ln/>
                </pic:spPr>
              </pic:pic>
            </a:graphicData>
          </a:graphic>
        </wp:inline>
      </w:drawing>
    </w:r>
    <w:r w:rsidDel="00000000" w:rsidR="00000000" w:rsidRPr="00000000">
      <w:rPr>
        <w:rFonts w:ascii="Unbounded" w:cs="Unbounded" w:eastAsia="Unbounded" w:hAnsi="Unbounded"/>
        <w:sz w:val="22"/>
        <w:szCs w:val="22"/>
        <w:rtl w:val="0"/>
      </w:rPr>
      <w:tab/>
    </w:r>
    <w:r w:rsidDel="00000000" w:rsidR="00000000" w:rsidRPr="00000000">
      <w:rPr>
        <w:rFonts w:ascii="Unbounded" w:cs="Unbounded" w:eastAsia="Unbounded" w:hAnsi="Unbounded"/>
        <w:sz w:val="22"/>
        <w:szCs w:val="22"/>
      </w:rPr>
      <w:drawing>
        <wp:inline distB="114300" distT="114300" distL="114300" distR="114300">
          <wp:extent cx="1014413" cy="338138"/>
          <wp:effectExtent b="0" l="0" r="0" t="0"/>
          <wp:docPr id="8" name="image9.png"/>
          <a:graphic>
            <a:graphicData uri="http://schemas.openxmlformats.org/drawingml/2006/picture">
              <pic:pic>
                <pic:nvPicPr>
                  <pic:cNvPr id="0" name="image9.png"/>
                  <pic:cNvPicPr preferRelativeResize="0"/>
                </pic:nvPicPr>
                <pic:blipFill>
                  <a:blip r:embed="rId4"/>
                  <a:srcRect b="33775" l="0" r="0" t="32946"/>
                  <a:stretch>
                    <a:fillRect/>
                  </a:stretch>
                </pic:blipFill>
                <pic:spPr>
                  <a:xfrm>
                    <a:off x="0" y="0"/>
                    <a:ext cx="1014413" cy="338138"/>
                  </a:xfrm>
                  <a:prstGeom prst="rect"/>
                  <a:ln/>
                </pic:spPr>
              </pic:pic>
            </a:graphicData>
          </a:graphic>
        </wp:inline>
      </w:drawing>
    </w:r>
    <w:r w:rsidDel="00000000" w:rsidR="00000000" w:rsidRPr="00000000">
      <w:rPr>
        <w:rFonts w:ascii="Unbounded" w:cs="Unbounded" w:eastAsia="Unbounded" w:hAnsi="Unbounded"/>
        <w:sz w:val="22"/>
        <w:szCs w:val="22"/>
        <w:rtl w:val="0"/>
      </w:rPr>
      <w:tab/>
    </w:r>
    <w:r w:rsidDel="00000000" w:rsidR="00000000" w:rsidRPr="00000000">
      <w:rPr>
        <w:rFonts w:ascii="Unbounded" w:cs="Unbounded" w:eastAsia="Unbounded" w:hAnsi="Unbounded"/>
        <w:sz w:val="22"/>
        <w:szCs w:val="22"/>
      </w:rPr>
      <w:drawing>
        <wp:inline distB="114300" distT="114300" distL="114300" distR="114300">
          <wp:extent cx="985838" cy="322947"/>
          <wp:effectExtent b="0" l="0" r="0" t="0"/>
          <wp:docPr id="11" name="image6.png"/>
          <a:graphic>
            <a:graphicData uri="http://schemas.openxmlformats.org/drawingml/2006/picture">
              <pic:pic>
                <pic:nvPicPr>
                  <pic:cNvPr id="0" name="image6.png"/>
                  <pic:cNvPicPr preferRelativeResize="0"/>
                </pic:nvPicPr>
                <pic:blipFill>
                  <a:blip r:embed="rId5"/>
                  <a:srcRect b="34907" l="0" r="0" t="32283"/>
                  <a:stretch>
                    <a:fillRect/>
                  </a:stretch>
                </pic:blipFill>
                <pic:spPr>
                  <a:xfrm>
                    <a:off x="0" y="0"/>
                    <a:ext cx="985838" cy="322947"/>
                  </a:xfrm>
                  <a:prstGeom prst="rect"/>
                  <a:ln/>
                </pic:spPr>
              </pic:pic>
            </a:graphicData>
          </a:graphic>
        </wp:inline>
      </w:drawing>
    </w:r>
    <w:r w:rsidDel="00000000" w:rsidR="00000000" w:rsidRPr="00000000">
      <w:rPr>
        <w:rFonts w:ascii="Unbounded" w:cs="Unbounded" w:eastAsia="Unbounded" w:hAnsi="Unbounded"/>
        <w:sz w:val="22"/>
        <w:szCs w:val="22"/>
        <w:rtl w:val="0"/>
      </w:rPr>
      <w:tab/>
    </w:r>
    <w:r w:rsidDel="00000000" w:rsidR="00000000" w:rsidRPr="00000000">
      <w:rPr>
        <w:rFonts w:ascii="Unbounded" w:cs="Unbounded" w:eastAsia="Unbounded" w:hAnsi="Unbounded"/>
        <w:sz w:val="22"/>
        <w:szCs w:val="22"/>
      </w:rPr>
      <w:drawing>
        <wp:inline distB="114300" distT="114300" distL="114300" distR="114300">
          <wp:extent cx="690563" cy="365592"/>
          <wp:effectExtent b="0" l="0" r="0" t="0"/>
          <wp:docPr id="12" name="image11.png"/>
          <a:graphic>
            <a:graphicData uri="http://schemas.openxmlformats.org/drawingml/2006/picture">
              <pic:pic>
                <pic:nvPicPr>
                  <pic:cNvPr id="0" name="image11.png"/>
                  <pic:cNvPicPr preferRelativeResize="0"/>
                </pic:nvPicPr>
                <pic:blipFill>
                  <a:blip r:embed="rId6"/>
                  <a:srcRect b="28585" l="0" r="0" t="19601"/>
                  <a:stretch>
                    <a:fillRect/>
                  </a:stretch>
                </pic:blipFill>
                <pic:spPr>
                  <a:xfrm>
                    <a:off x="0" y="0"/>
                    <a:ext cx="690563" cy="365592"/>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spacing w:after="0" w:before="0" w:line="240" w:lineRule="auto"/>
      <w:ind w:left="-540" w:right="-360" w:firstLine="0"/>
      <w:jc w:val="center"/>
      <w:rPr>
        <w:sz w:val="18"/>
        <w:szCs w:val="18"/>
      </w:rPr>
    </w:pPr>
    <w:r w:rsidDel="00000000" w:rsidR="00000000" w:rsidRPr="00000000">
      <w:rPr>
        <w:rFonts w:ascii="Unbounded" w:cs="Unbounded" w:eastAsia="Unbounded" w:hAnsi="Unbounded"/>
        <w:sz w:val="22"/>
        <w:szCs w:val="22"/>
      </w:rPr>
      <w:drawing>
        <wp:inline distB="114300" distT="114300" distL="114300" distR="114300">
          <wp:extent cx="642938" cy="398342"/>
          <wp:effectExtent b="0" l="0" r="0" t="0"/>
          <wp:docPr id="2" name="image5.png"/>
          <a:graphic>
            <a:graphicData uri="http://schemas.openxmlformats.org/drawingml/2006/picture">
              <pic:pic>
                <pic:nvPicPr>
                  <pic:cNvPr id="0" name="image5.png"/>
                  <pic:cNvPicPr preferRelativeResize="0"/>
                </pic:nvPicPr>
                <pic:blipFill>
                  <a:blip r:embed="rId7"/>
                  <a:srcRect b="17749" l="0" r="0" t="20979"/>
                  <a:stretch>
                    <a:fillRect/>
                  </a:stretch>
                </pic:blipFill>
                <pic:spPr>
                  <a:xfrm>
                    <a:off x="0" y="0"/>
                    <a:ext cx="642938" cy="398342"/>
                  </a:xfrm>
                  <a:prstGeom prst="rect"/>
                  <a:ln/>
                </pic:spPr>
              </pic:pic>
            </a:graphicData>
          </a:graphic>
        </wp:inline>
      </w:drawing>
    </w:r>
    <w:r w:rsidDel="00000000" w:rsidR="00000000" w:rsidRPr="00000000">
      <w:rPr>
        <w:rFonts w:ascii="Unbounded" w:cs="Unbounded" w:eastAsia="Unbounded" w:hAnsi="Unbounded"/>
        <w:sz w:val="22"/>
        <w:szCs w:val="22"/>
        <w:rtl w:val="0"/>
      </w:rPr>
      <w:tab/>
      <w:tab/>
    </w:r>
    <w:r w:rsidDel="00000000" w:rsidR="00000000" w:rsidRPr="00000000">
      <w:rPr>
        <w:sz w:val="22"/>
        <w:szCs w:val="22"/>
      </w:rPr>
      <w:drawing>
        <wp:inline distB="114300" distT="114300" distL="114300" distR="114300">
          <wp:extent cx="1035507" cy="258877"/>
          <wp:effectExtent b="0" l="0" r="0" t="0"/>
          <wp:docPr id="15" name="image1.png"/>
          <a:graphic>
            <a:graphicData uri="http://schemas.openxmlformats.org/drawingml/2006/picture">
              <pic:pic>
                <pic:nvPicPr>
                  <pic:cNvPr id="0" name="image1.png"/>
                  <pic:cNvPicPr preferRelativeResize="0"/>
                </pic:nvPicPr>
                <pic:blipFill>
                  <a:blip r:embed="rId8"/>
                  <a:srcRect b="0" l="5299" r="5365" t="0"/>
                  <a:stretch>
                    <a:fillRect/>
                  </a:stretch>
                </pic:blipFill>
                <pic:spPr>
                  <a:xfrm>
                    <a:off x="0" y="0"/>
                    <a:ext cx="1035507" cy="258877"/>
                  </a:xfrm>
                  <a:prstGeom prst="rect"/>
                  <a:ln/>
                </pic:spPr>
              </pic:pic>
            </a:graphicData>
          </a:graphic>
        </wp:inline>
      </w:drawing>
    </w:r>
    <w:r w:rsidDel="00000000" w:rsidR="00000000" w:rsidRPr="00000000">
      <w:rPr>
        <w:sz w:val="22"/>
        <w:szCs w:val="22"/>
        <w:rtl w:val="0"/>
      </w:rPr>
      <w:tab/>
    </w:r>
    <w:r w:rsidDel="00000000" w:rsidR="00000000" w:rsidRPr="00000000">
      <w:rPr>
        <w:sz w:val="22"/>
        <w:szCs w:val="22"/>
      </w:rPr>
      <w:drawing>
        <wp:inline distB="114300" distT="114300" distL="114300" distR="114300">
          <wp:extent cx="804167" cy="266207"/>
          <wp:effectExtent b="0" l="0" r="0" t="0"/>
          <wp:docPr id="10" name="image7.png"/>
          <a:graphic>
            <a:graphicData uri="http://schemas.openxmlformats.org/drawingml/2006/picture">
              <pic:pic>
                <pic:nvPicPr>
                  <pic:cNvPr id="0" name="image7.png"/>
                  <pic:cNvPicPr preferRelativeResize="0"/>
                </pic:nvPicPr>
                <pic:blipFill>
                  <a:blip r:embed="rId9"/>
                  <a:srcRect b="35220" l="4980" r="3866" t="34591"/>
                  <a:stretch>
                    <a:fillRect/>
                  </a:stretch>
                </pic:blipFill>
                <pic:spPr>
                  <a:xfrm>
                    <a:off x="0" y="0"/>
                    <a:ext cx="804167" cy="266207"/>
                  </a:xfrm>
                  <a:prstGeom prst="rect"/>
                  <a:ln/>
                </pic:spPr>
              </pic:pic>
            </a:graphicData>
          </a:graphic>
        </wp:inline>
      </w:drawing>
    </w:r>
    <w:r w:rsidDel="00000000" w:rsidR="00000000" w:rsidRPr="00000000">
      <w:rPr>
        <w:sz w:val="22"/>
        <w:szCs w:val="22"/>
        <w:rtl w:val="0"/>
      </w:rPr>
      <w:tab/>
      <w:tab/>
    </w:r>
    <w:r w:rsidDel="00000000" w:rsidR="00000000" w:rsidRPr="00000000">
      <w:rPr>
        <w:sz w:val="22"/>
        <w:szCs w:val="22"/>
      </w:rPr>
      <w:drawing>
        <wp:inline distB="114300" distT="114300" distL="114300" distR="114300">
          <wp:extent cx="853005" cy="366713"/>
          <wp:effectExtent b="0" l="0" r="0" t="0"/>
          <wp:docPr id="6" name="image4.png"/>
          <a:graphic>
            <a:graphicData uri="http://schemas.openxmlformats.org/drawingml/2006/picture">
              <pic:pic>
                <pic:nvPicPr>
                  <pic:cNvPr id="0" name="image4.png"/>
                  <pic:cNvPicPr preferRelativeResize="0"/>
                </pic:nvPicPr>
                <pic:blipFill>
                  <a:blip r:embed="rId10"/>
                  <a:srcRect b="31791" l="6622" r="4895" t="32369"/>
                  <a:stretch>
                    <a:fillRect/>
                  </a:stretch>
                </pic:blipFill>
                <pic:spPr>
                  <a:xfrm>
                    <a:off x="0" y="0"/>
                    <a:ext cx="853005" cy="366713"/>
                  </a:xfrm>
                  <a:prstGeom prst="rect"/>
                  <a:ln/>
                </pic:spPr>
              </pic:pic>
            </a:graphicData>
          </a:graphic>
        </wp:inline>
      </w:drawing>
    </w:r>
    <w:r w:rsidDel="00000000" w:rsidR="00000000" w:rsidRPr="00000000">
      <w:rPr>
        <w:sz w:val="22"/>
        <w:szCs w:val="22"/>
        <w:rtl w:val="0"/>
      </w:rPr>
      <w:tab/>
      <w:tab/>
    </w:r>
    <w:r w:rsidDel="00000000" w:rsidR="00000000" w:rsidRPr="00000000">
      <w:rPr>
        <w:rFonts w:ascii="Unbounded" w:cs="Unbounded" w:eastAsia="Unbounded" w:hAnsi="Unbounded"/>
        <w:sz w:val="22"/>
        <w:szCs w:val="22"/>
      </w:rPr>
      <w:drawing>
        <wp:inline distB="114300" distT="114300" distL="114300" distR="114300">
          <wp:extent cx="519113" cy="323382"/>
          <wp:effectExtent b="0" l="0" r="0" t="0"/>
          <wp:docPr id="4" name="image10.png"/>
          <a:graphic>
            <a:graphicData uri="http://schemas.openxmlformats.org/drawingml/2006/picture">
              <pic:pic>
                <pic:nvPicPr>
                  <pic:cNvPr id="0" name="image10.png"/>
                  <pic:cNvPicPr preferRelativeResize="0"/>
                </pic:nvPicPr>
                <pic:blipFill>
                  <a:blip r:embed="rId11"/>
                  <a:srcRect b="23434" l="6140" r="6284" t="22824"/>
                  <a:stretch>
                    <a:fillRect/>
                  </a:stretch>
                </pic:blipFill>
                <pic:spPr>
                  <a:xfrm>
                    <a:off x="0" y="0"/>
                    <a:ext cx="519113" cy="323382"/>
                  </a:xfrm>
                  <a:prstGeom prst="rect"/>
                  <a:ln/>
                </pic:spPr>
              </pic:pic>
            </a:graphicData>
          </a:graphic>
        </wp:inline>
      </w:drawing>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center" w:leader="none" w:pos="4320"/>
        <w:tab w:val="right" w:leader="none" w:pos="8640"/>
      </w:tabs>
      <w:rPr>
        <w:color w:val="000000"/>
        <w:sz w:val="18"/>
        <w:szCs w:val="18"/>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A3">
      <w:pPr>
        <w:pBdr>
          <w:top w:space="0" w:sz="0" w:val="nil"/>
          <w:left w:space="0" w:sz="0" w:val="nil"/>
          <w:bottom w:space="0" w:sz="0" w:val="nil"/>
          <w:right w:space="0" w:sz="0" w:val="nil"/>
          <w:between w:space="0" w:sz="0" w:val="nil"/>
        </w:pBdr>
        <w:jc w:val="both"/>
        <w:rPr>
          <w:color w:val="000000"/>
          <w:sz w:val="22"/>
          <w:szCs w:val="22"/>
        </w:rPr>
      </w:pPr>
      <w:r w:rsidDel="00000000" w:rsidR="00000000" w:rsidRPr="00000000">
        <w:rPr>
          <w:rStyle w:val="FootnoteReference"/>
          <w:vertAlign w:val="superscript"/>
        </w:rPr>
        <w:footnoteRef/>
      </w:r>
      <w:r w:rsidDel="00000000" w:rsidR="00000000" w:rsidRPr="00000000">
        <w:rPr>
          <w:rFonts w:ascii="Georgia" w:cs="Georgia" w:eastAsia="Georgia" w:hAnsi="Georgia"/>
          <w:color w:val="000000"/>
          <w:sz w:val="18"/>
          <w:szCs w:val="18"/>
          <w:rtl w:val="0"/>
        </w:rPr>
        <w:t xml:space="preserve">Any reference to (i) a quota, share or shareholding shall be deemed as a reference to a business quota (in Hungarian: </w:t>
      </w:r>
      <w:r w:rsidDel="00000000" w:rsidR="00000000" w:rsidRPr="00000000">
        <w:rPr>
          <w:rFonts w:ascii="Georgia" w:cs="Georgia" w:eastAsia="Georgia" w:hAnsi="Georgia"/>
          <w:i w:val="1"/>
          <w:iCs w:val="1"/>
          <w:color w:val="000000"/>
          <w:sz w:val="18"/>
          <w:szCs w:val="18"/>
          <w:rtl w:val="0"/>
        </w:rPr>
        <w:t xml:space="preserve">üzletrész</w:t>
      </w:r>
      <w:r w:rsidDel="00000000" w:rsidR="00000000" w:rsidRPr="00000000">
        <w:rPr>
          <w:rFonts w:ascii="Georgia" w:cs="Georgia" w:eastAsia="Georgia" w:hAnsi="Georgia"/>
          <w:color w:val="000000"/>
          <w:sz w:val="18"/>
          <w:szCs w:val="18"/>
          <w:rtl w:val="0"/>
        </w:rPr>
        <w:t xml:space="preserve">), and ii) any reference to a quotaholder shall be deemed as a reference to a member (in Hungarian: </w:t>
      </w:r>
      <w:r w:rsidDel="00000000" w:rsidR="00000000" w:rsidRPr="00000000">
        <w:rPr>
          <w:rFonts w:ascii="Georgia" w:cs="Georgia" w:eastAsia="Georgia" w:hAnsi="Georgia"/>
          <w:i w:val="1"/>
          <w:iCs w:val="1"/>
          <w:color w:val="000000"/>
          <w:sz w:val="18"/>
          <w:szCs w:val="18"/>
          <w:rtl w:val="0"/>
        </w:rPr>
        <w:t xml:space="preserve">tag</w:t>
      </w:r>
      <w:r w:rsidDel="00000000" w:rsidR="00000000" w:rsidRPr="00000000">
        <w:rPr>
          <w:rFonts w:ascii="Georgia" w:cs="Georgia" w:eastAsia="Georgia" w:hAnsi="Georgia"/>
          <w:color w:val="000000"/>
          <w:sz w:val="18"/>
          <w:szCs w:val="18"/>
          <w:rtl w:val="0"/>
        </w:rPr>
        <w:t xml:space="preserve">) in each case as defined in Act V of 2013 on the Civil Code.</w:t>
      </w:r>
      <w:r w:rsidDel="00000000" w:rsidR="00000000" w:rsidRPr="00000000">
        <w:rPr>
          <w:rtl w:val="0"/>
        </w:rPr>
      </w:r>
    </w:p>
  </w:footnote>
  <w:footnote w:id="1">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0" w:before="0" w:line="240" w:lineRule="auto"/>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w:t>
      </w:r>
      <w:r w:rsidDel="00000000" w:rsidR="00000000" w:rsidRPr="00000000">
        <w:rPr>
          <w:rFonts w:ascii="Georgia" w:cs="Georgia" w:eastAsia="Georgia" w:hAnsi="Georgia"/>
          <w:color w:val="000000"/>
          <w:sz w:val="18"/>
          <w:szCs w:val="18"/>
          <w:rtl w:val="0"/>
        </w:rPr>
        <w:t xml:space="preserve">in case of co-investment only</w:t>
      </w:r>
      <w:r w:rsidDel="00000000" w:rsidR="00000000" w:rsidRPr="00000000">
        <w:rPr>
          <w:rtl w:val="0"/>
        </w:rPr>
      </w:r>
    </w:p>
  </w:footnote>
  <w:footnote w:id="2">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0" w:before="0" w:line="240" w:lineRule="auto"/>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To be detailed further in the Definitive Documents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7">
    <w:pPr>
      <w:pBdr>
        <w:top w:color="000000" w:space="2" w:sz="18" w:val="single"/>
        <w:bottom w:color="000000" w:space="2" w:sz="18" w:val="single"/>
      </w:pBdr>
      <w:spacing w:after="200" w:before="0" w:line="276" w:lineRule="auto"/>
      <w:ind w:left="-1433.8235294117646" w:right="-1425.0000000000002" w:firstLine="713.8235294117646"/>
      <w:rPr/>
    </w:pPr>
    <w:r w:rsidDel="00000000" w:rsidR="00000000" w:rsidRPr="00000000">
      <w:rPr>
        <w:rFonts w:ascii="Unbounded" w:cs="Unbounded" w:eastAsia="Unbounded" w:hAnsi="Unbounded"/>
        <w:sz w:val="28"/>
        <w:szCs w:val="28"/>
        <w:rtl w:val="0"/>
      </w:rPr>
      <w:t xml:space="preserve">LEGAL LIBRARY</w:t>
      <w:tab/>
      <w:tab/>
      <w:tab/>
      <w:tab/>
      <w:tab/>
      <w:tab/>
      <w:tab/>
    </w:r>
    <w:r w:rsidDel="00000000" w:rsidR="00000000" w:rsidRPr="00000000">
      <w:rPr>
        <w:rFonts w:ascii="Unbounded" w:cs="Unbounded" w:eastAsia="Unbounded" w:hAnsi="Unbounded"/>
        <w:sz w:val="28"/>
        <w:szCs w:val="28"/>
      </w:rPr>
      <w:drawing>
        <wp:inline distB="114300" distT="114300" distL="114300" distR="114300">
          <wp:extent cx="1358900" cy="276225"/>
          <wp:effectExtent b="0" l="0" r="0" t="0"/>
          <wp:docPr id="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58900" cy="276225"/>
                  </a:xfrm>
                  <a:prstGeom prst="rect"/>
                  <a:ln/>
                </pic:spPr>
              </pic:pic>
            </a:graphicData>
          </a:graphic>
        </wp:inline>
      </w:drawing>
    </w:r>
    <w:r w:rsidDel="00000000" w:rsidR="00000000" w:rsidRPr="00000000">
      <w:rPr>
        <w:rFonts w:ascii="Unbounded" w:cs="Unbounded" w:eastAsia="Unbounded" w:hAnsi="Unbounded"/>
        <w:sz w:val="28"/>
        <w:szCs w:val="28"/>
        <w:rtl w:val="0"/>
      </w:rPr>
      <w:t xml:space="preserve"> </w:t>
    </w:r>
    <w:r w:rsidDel="00000000" w:rsidR="00000000" w:rsidRPr="00000000">
      <w:rPr>
        <w:rFonts w:ascii="Unbounded" w:cs="Unbounded" w:eastAsia="Unbounded" w:hAnsi="Unbounded"/>
        <w:sz w:val="28"/>
        <w:szCs w:val="28"/>
      </w:rPr>
      <w:drawing>
        <wp:inline distB="114300" distT="114300" distL="114300" distR="114300">
          <wp:extent cx="666290" cy="306705"/>
          <wp:effectExtent b="0" l="0" r="0" t="0"/>
          <wp:docPr id="5" name="image13.png"/>
          <a:graphic>
            <a:graphicData uri="http://schemas.openxmlformats.org/drawingml/2006/picture">
              <pic:pic>
                <pic:nvPicPr>
                  <pic:cNvPr id="0" name="image13.png"/>
                  <pic:cNvPicPr preferRelativeResize="0"/>
                </pic:nvPicPr>
                <pic:blipFill>
                  <a:blip r:embed="rId2"/>
                  <a:srcRect b="27154" l="0" r="0" t="27672"/>
                  <a:stretch>
                    <a:fillRect/>
                  </a:stretch>
                </pic:blipFill>
                <pic:spPr>
                  <a:xfrm>
                    <a:off x="0" y="0"/>
                    <a:ext cx="666290" cy="306705"/>
                  </a:xfrm>
                  <a:prstGeom prst="rect"/>
                  <a:ln/>
                </pic:spPr>
              </pic:pic>
            </a:graphicData>
          </a:graphic>
        </wp:inline>
      </w:drawing>
    </w:r>
    <w:r w:rsidDel="00000000" w:rsidR="00000000" w:rsidRPr="00000000">
      <w:rPr>
        <w:rFonts w:ascii="Unbounded" w:cs="Unbounded" w:eastAsia="Unbounded" w:hAnsi="Unbounded"/>
        <w:sz w:val="28"/>
        <w:szCs w:val="28"/>
        <w:rtl w:val="0"/>
      </w:rPr>
      <w:tab/>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pBdr>
        <w:top w:color="000000" w:space="2" w:sz="18" w:val="single"/>
        <w:bottom w:color="000000" w:space="2" w:sz="18" w:val="single"/>
      </w:pBdr>
      <w:spacing w:after="200" w:before="0" w:line="276" w:lineRule="auto"/>
      <w:ind w:left="-1433.8235294117646" w:right="-1425.0000000000002" w:firstLine="713.8235294117646"/>
      <w:rPr>
        <w:b w:val="1"/>
        <w:bCs w:val="1"/>
        <w:i w:val="1"/>
        <w:iCs w:val="1"/>
      </w:rPr>
    </w:pPr>
    <w:r w:rsidDel="00000000" w:rsidR="00000000" w:rsidRPr="00000000">
      <w:rPr>
        <w:rFonts w:ascii="Unbounded" w:cs="Unbounded" w:eastAsia="Unbounded" w:hAnsi="Unbounded"/>
        <w:sz w:val="28"/>
        <w:szCs w:val="28"/>
        <w:rtl w:val="0"/>
      </w:rPr>
      <w:t xml:space="preserve">LEGAL LIBRARY</w:t>
      <w:tab/>
      <w:tab/>
      <w:tab/>
      <w:tab/>
      <w:tab/>
      <w:tab/>
      <w:tab/>
    </w:r>
    <w:r w:rsidDel="00000000" w:rsidR="00000000" w:rsidRPr="00000000">
      <w:rPr>
        <w:rFonts w:ascii="Unbounded" w:cs="Unbounded" w:eastAsia="Unbounded" w:hAnsi="Unbounded"/>
        <w:sz w:val="28"/>
        <w:szCs w:val="28"/>
      </w:rPr>
      <w:drawing>
        <wp:inline distB="114300" distT="114300" distL="114300" distR="114300">
          <wp:extent cx="1358900" cy="276225"/>
          <wp:effectExtent b="0" l="0" r="0" t="0"/>
          <wp:docPr id="1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58900" cy="276225"/>
                  </a:xfrm>
                  <a:prstGeom prst="rect"/>
                  <a:ln/>
                </pic:spPr>
              </pic:pic>
            </a:graphicData>
          </a:graphic>
        </wp:inline>
      </w:drawing>
    </w:r>
    <w:r w:rsidDel="00000000" w:rsidR="00000000" w:rsidRPr="00000000">
      <w:rPr>
        <w:rFonts w:ascii="Unbounded" w:cs="Unbounded" w:eastAsia="Unbounded" w:hAnsi="Unbounded"/>
        <w:sz w:val="28"/>
        <w:szCs w:val="28"/>
        <w:rtl w:val="0"/>
      </w:rPr>
      <w:t xml:space="preserve"> </w:t>
    </w:r>
    <w:r w:rsidDel="00000000" w:rsidR="00000000" w:rsidRPr="00000000">
      <w:rPr>
        <w:rFonts w:ascii="Unbounded" w:cs="Unbounded" w:eastAsia="Unbounded" w:hAnsi="Unbounded"/>
        <w:sz w:val="28"/>
        <w:szCs w:val="28"/>
      </w:rPr>
      <w:drawing>
        <wp:inline distB="114300" distT="114300" distL="114300" distR="114300">
          <wp:extent cx="666290" cy="306705"/>
          <wp:effectExtent b="0" l="0" r="0" t="0"/>
          <wp:docPr id="3" name="image13.png"/>
          <a:graphic>
            <a:graphicData uri="http://schemas.openxmlformats.org/drawingml/2006/picture">
              <pic:pic>
                <pic:nvPicPr>
                  <pic:cNvPr id="0" name="image13.png"/>
                  <pic:cNvPicPr preferRelativeResize="0"/>
                </pic:nvPicPr>
                <pic:blipFill>
                  <a:blip r:embed="rId2"/>
                  <a:srcRect b="27154" l="0" r="0" t="27672"/>
                  <a:stretch>
                    <a:fillRect/>
                  </a:stretch>
                </pic:blipFill>
                <pic:spPr>
                  <a:xfrm>
                    <a:off x="0" y="0"/>
                    <a:ext cx="666290" cy="306705"/>
                  </a:xfrm>
                  <a:prstGeom prst="rect"/>
                  <a:ln/>
                </pic:spPr>
              </pic:pic>
            </a:graphicData>
          </a:graphic>
        </wp:inline>
      </w:drawing>
    </w:r>
    <w:r w:rsidDel="00000000" w:rsidR="00000000" w:rsidRPr="00000000">
      <w:rPr>
        <w:rFonts w:ascii="Unbounded" w:cs="Unbounded" w:eastAsia="Unbounded" w:hAnsi="Unbounded"/>
        <w:sz w:val="28"/>
        <w:szCs w:val="28"/>
        <w:rtl w:val="0"/>
      </w:rPr>
      <w:tab/>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720"/>
      </w:pPr>
      <w:rPr/>
    </w:lvl>
    <w:lvl w:ilvl="1">
      <w:start w:val="1"/>
      <w:numFmt w:val="decimal"/>
      <w:lvlText w:val="%1.%2"/>
      <w:lvlJc w:val="left"/>
      <w:pPr>
        <w:ind w:left="720" w:hanging="720"/>
      </w:pPr>
      <w:rPr/>
    </w:lvl>
    <w:lvl w:ilvl="2">
      <w:start w:val="1"/>
      <w:numFmt w:val="lowerLetter"/>
      <w:lvlText w:val="(%3)"/>
      <w:lvlJc w:val="left"/>
      <w:pPr>
        <w:ind w:left="1440" w:hanging="720"/>
      </w:pPr>
      <w:rPr/>
    </w:lvl>
    <w:lvl w:ilvl="3">
      <w:start w:val="1"/>
      <w:numFmt w:val="lowerRoman"/>
      <w:lvlText w:val="(%4)"/>
      <w:lvlJc w:val="left"/>
      <w:pPr>
        <w:ind w:left="2160" w:hanging="720"/>
      </w:pPr>
      <w:rPr/>
    </w:lvl>
    <w:lvl w:ilvl="4">
      <w:start w:val="1"/>
      <w:numFmt w:val="upperLetter"/>
      <w:lvlText w:val="(%5)"/>
      <w:lvlJc w:val="left"/>
      <w:pPr>
        <w:ind w:left="2880" w:hanging="720"/>
      </w:pPr>
      <w:rPr/>
    </w:lvl>
    <w:lvl w:ilvl="5">
      <w:start w:val="1"/>
      <w:numFmt w:val="upperRoman"/>
      <w:lvlText w:val="(%6)"/>
      <w:lvlJc w:val="left"/>
      <w:pPr>
        <w:ind w:left="3600" w:hanging="720"/>
      </w:pPr>
      <w:rPr/>
    </w:lvl>
    <w:lvl w:ilvl="6">
      <w:start w:val="1"/>
      <w:numFmt w:val="lowerLetter"/>
      <w:lvlText w:val="(%7)"/>
      <w:lvlJc w:val="left"/>
      <w:pPr>
        <w:ind w:left="4321" w:hanging="721"/>
      </w:pPr>
      <w:rPr/>
    </w:lvl>
    <w:lvl w:ilvl="7">
      <w:start w:val="1"/>
      <w:numFmt w:val="lowerRoman"/>
      <w:lvlText w:val="(%8)"/>
      <w:lvlJc w:val="left"/>
      <w:pPr>
        <w:ind w:left="5041" w:hanging="720"/>
      </w:pPr>
      <w:rPr/>
    </w:lvl>
    <w:lvl w:ilvl="8">
      <w:start w:val="1"/>
      <w:numFmt w:val="lowerRoman"/>
      <w:lvlText w:val="%9."/>
      <w:lvlJc w:val="left"/>
      <w:pPr>
        <w:ind w:left="5761" w:hanging="720"/>
      </w:pPr>
      <w:rPr/>
    </w:lvl>
  </w:abstractNum>
  <w:abstractNum w:abstractNumId="2">
    <w:lvl w:ilvl="0">
      <w:start w:val="1"/>
      <w:numFmt w:val="decimal"/>
      <w:lvlText w:val="%1."/>
      <w:lvlJc w:val="left"/>
      <w:pPr>
        <w:ind w:left="720" w:hanging="720"/>
      </w:pPr>
      <w:rPr/>
    </w:lvl>
    <w:lvl w:ilvl="1">
      <w:start w:val="1"/>
      <w:numFmt w:val="decimal"/>
      <w:lvlText w:val="%1.%2"/>
      <w:lvlJc w:val="left"/>
      <w:pPr>
        <w:ind w:left="720" w:hanging="720"/>
      </w:pPr>
      <w:rPr/>
    </w:lvl>
    <w:lvl w:ilvl="2">
      <w:start w:val="1"/>
      <w:numFmt w:val="lowerLetter"/>
      <w:lvlText w:val="(%3)"/>
      <w:lvlJc w:val="left"/>
      <w:pPr>
        <w:ind w:left="1440" w:hanging="720"/>
      </w:pPr>
      <w:rPr/>
    </w:lvl>
    <w:lvl w:ilvl="3">
      <w:start w:val="1"/>
      <w:numFmt w:val="lowerRoman"/>
      <w:lvlText w:val="(%4)"/>
      <w:lvlJc w:val="left"/>
      <w:pPr>
        <w:ind w:left="2160" w:hanging="720"/>
      </w:pPr>
      <w:rPr/>
    </w:lvl>
    <w:lvl w:ilvl="4">
      <w:start w:val="1"/>
      <w:numFmt w:val="upperLetter"/>
      <w:lvlText w:val="(%5)"/>
      <w:lvlJc w:val="left"/>
      <w:pPr>
        <w:ind w:left="2880" w:hanging="720"/>
      </w:pPr>
      <w:rPr/>
    </w:lvl>
    <w:lvl w:ilvl="5">
      <w:start w:val="1"/>
      <w:numFmt w:val="upperRoman"/>
      <w:lvlText w:val="(%6)"/>
      <w:lvlJc w:val="left"/>
      <w:pPr>
        <w:ind w:left="3600" w:hanging="720"/>
      </w:pPr>
      <w:rPr/>
    </w:lvl>
    <w:lvl w:ilvl="6">
      <w:start w:val="1"/>
      <w:numFmt w:val="lowerLetter"/>
      <w:lvlText w:val="(%7)"/>
      <w:lvlJc w:val="left"/>
      <w:pPr>
        <w:ind w:left="4321" w:hanging="721"/>
      </w:pPr>
      <w:rPr/>
    </w:lvl>
    <w:lvl w:ilvl="7">
      <w:start w:val="1"/>
      <w:numFmt w:val="lowerRoman"/>
      <w:lvlText w:val="(%8)"/>
      <w:lvlJc w:val="left"/>
      <w:pPr>
        <w:ind w:left="5041" w:hanging="720"/>
      </w:pPr>
      <w:rPr/>
    </w:lvl>
    <w:lvl w:ilvl="8">
      <w:start w:val="1"/>
      <w:numFmt w:val="lowerRoman"/>
      <w:lvlText w:val="%9."/>
      <w:lvlJc w:val="left"/>
      <w:pPr>
        <w:ind w:left="5761" w:hanging="720"/>
      </w:pPr>
      <w:rPr/>
    </w:lvl>
  </w:abstractNum>
  <w:abstractNum w:abstractNumId="3">
    <w:lvl w:ilvl="0">
      <w:start w:val="1"/>
      <w:numFmt w:val="decimal"/>
      <w:lvlText w:val="Schedule %1 "/>
      <w:lvlJc w:val="left"/>
      <w:pPr>
        <w:ind w:left="0" w:firstLine="0"/>
      </w:pPr>
      <w:rPr>
        <w:b w:val="1"/>
        <w:bCs w:val="1"/>
        <w:i w:val="0"/>
        <w:iCs w:val="0"/>
      </w:rPr>
    </w:lvl>
    <w:lvl w:ilvl="1">
      <w:start w:val="1"/>
      <w:numFmt w:val="decimal"/>
      <w:lvlText w:val="Part %2"/>
      <w:lvlJc w:val="left"/>
      <w:pPr>
        <w:ind w:left="0" w:firstLine="0"/>
      </w:pPr>
      <w:rPr>
        <w:b w:val="1"/>
        <w:bCs w:val="1"/>
        <w:i w:val="0"/>
        <w:iCs w:val="0"/>
      </w:rPr>
    </w:lvl>
    <w:lvl w:ilvl="2">
      <w:start w:val="1"/>
      <w:numFmt w:val="decimal"/>
      <w:lvlText w:val=""/>
      <w:lvlJc w:val="left"/>
      <w:pPr>
        <w:ind w:left="-4560" w:firstLine="0"/>
      </w:pPr>
      <w:rPr/>
    </w:lvl>
    <w:lvl w:ilvl="3">
      <w:start w:val="1"/>
      <w:numFmt w:val="decimal"/>
      <w:lvlText w:val=""/>
      <w:lvlJc w:val="left"/>
      <w:pPr>
        <w:ind w:left="-4560" w:firstLine="0"/>
      </w:pPr>
      <w:rPr/>
    </w:lvl>
    <w:lvl w:ilvl="4">
      <w:start w:val="1"/>
      <w:numFmt w:val="decimal"/>
      <w:lvlText w:val=""/>
      <w:lvlJc w:val="left"/>
      <w:pPr>
        <w:ind w:left="-4560" w:firstLine="0"/>
      </w:pPr>
      <w:rPr/>
    </w:lvl>
    <w:lvl w:ilvl="5">
      <w:start w:val="1"/>
      <w:numFmt w:val="decimal"/>
      <w:lvlText w:val=""/>
      <w:lvlJc w:val="left"/>
      <w:pPr>
        <w:ind w:left="-4560" w:firstLine="0"/>
      </w:pPr>
      <w:rPr/>
    </w:lvl>
    <w:lvl w:ilvl="6">
      <w:start w:val="1"/>
      <w:numFmt w:val="decimal"/>
      <w:lvlText w:val=""/>
      <w:lvlJc w:val="left"/>
      <w:pPr>
        <w:ind w:left="-4560" w:firstLine="0"/>
      </w:pPr>
      <w:rPr/>
    </w:lvl>
    <w:lvl w:ilvl="7">
      <w:start w:val="1"/>
      <w:numFmt w:val="decimal"/>
      <w:lvlText w:val=""/>
      <w:lvlJc w:val="left"/>
      <w:pPr>
        <w:ind w:left="-4560" w:firstLine="0"/>
      </w:pPr>
      <w:rPr/>
    </w:lvl>
    <w:lvl w:ilvl="8">
      <w:start w:val="1"/>
      <w:numFmt w:val="decimal"/>
      <w:lvlText w:val=""/>
      <w:lvlJc w:val="left"/>
      <w:pPr>
        <w:ind w:left="-4560" w:firstLine="0"/>
      </w:pPr>
      <w:rPr/>
    </w:lvl>
  </w:abstractNum>
  <w:abstractNum w:abstractNumId="4">
    <w:lvl w:ilvl="0">
      <w:start w:val="1"/>
      <w:numFmt w:val="decimal"/>
      <w:lvlText w:val="%1."/>
      <w:lvlJc w:val="left"/>
      <w:pPr>
        <w:ind w:left="709" w:hanging="709"/>
      </w:pPr>
      <w:rPr>
        <w:b w:val="1"/>
        <w:bCs w:val="1"/>
        <w:i w:val="0"/>
        <w:iCs w:val="0"/>
        <w:smallCaps w:val="0"/>
        <w:strike w:val="0"/>
        <w:color w:val="000000"/>
        <w:u w:val="none"/>
        <w:vertAlign w:val="baseline"/>
      </w:rPr>
    </w:lvl>
    <w:lvl w:ilvl="1">
      <w:start w:val="1"/>
      <w:numFmt w:val="decimal"/>
      <w:lvlText w:val="%1.%2"/>
      <w:lvlJc w:val="left"/>
      <w:pPr>
        <w:ind w:left="709" w:hanging="709"/>
      </w:pPr>
      <w:rPr>
        <w:rFonts w:ascii="Arial" w:cs="Arial" w:eastAsia="Arial" w:hAnsi="Arial"/>
        <w:b w:val="1"/>
        <w:bCs w:val="1"/>
        <w:i w:val="0"/>
        <w:iCs w:val="0"/>
        <w:smallCaps w:val="0"/>
        <w:strike w:val="0"/>
        <w:color w:val="000000"/>
        <w:sz w:val="20"/>
        <w:szCs w:val="20"/>
        <w:u w:val="none"/>
        <w:vertAlign w:val="baseline"/>
      </w:rPr>
    </w:lvl>
    <w:lvl w:ilvl="2">
      <w:start w:val="1"/>
      <w:numFmt w:val="decimal"/>
      <w:lvlText w:val="%1.%2.%3"/>
      <w:lvlJc w:val="left"/>
      <w:pPr>
        <w:ind w:left="709" w:hanging="709"/>
      </w:pPr>
      <w:rPr>
        <w:b w:val="0"/>
        <w:bCs w:val="0"/>
        <w:i w:val="0"/>
        <w:iCs w:val="0"/>
        <w:smallCaps w:val="0"/>
        <w:strike w:val="0"/>
        <w:color w:val="000000"/>
        <w:u w:val="none"/>
        <w:vertAlign w:val="baseline"/>
      </w:rPr>
    </w:lvl>
    <w:lvl w:ilvl="3">
      <w:start w:val="1"/>
      <w:numFmt w:val="lowerLetter"/>
      <w:lvlText w:val="(%4)"/>
      <w:lvlJc w:val="left"/>
      <w:pPr>
        <w:ind w:left="1276" w:hanging="567.0000000000001"/>
      </w:pPr>
      <w:rPr>
        <w:b w:val="0"/>
        <w:bCs w:val="0"/>
        <w:i w:val="0"/>
        <w:iCs w:val="0"/>
        <w:smallCaps w:val="0"/>
        <w:strike w:val="0"/>
        <w:color w:val="000000"/>
        <w:u w:val="none"/>
        <w:vertAlign w:val="baseline"/>
      </w:rPr>
    </w:lvl>
    <w:lvl w:ilvl="4">
      <w:start w:val="1"/>
      <w:numFmt w:val="lowerRoman"/>
      <w:lvlText w:val="(%5)"/>
      <w:lvlJc w:val="left"/>
      <w:pPr>
        <w:ind w:left="1843" w:hanging="567"/>
      </w:pPr>
      <w:rPr>
        <w:rFonts w:ascii="Arial" w:cs="Arial" w:eastAsia="Arial" w:hAnsi="Arial"/>
        <w:b w:val="0"/>
        <w:bCs w:val="0"/>
        <w:i w:val="0"/>
        <w:iCs w:val="0"/>
        <w:smallCaps w:val="0"/>
        <w:strike w:val="0"/>
        <w:color w:val="000000"/>
        <w:sz w:val="21"/>
        <w:szCs w:val="21"/>
        <w:u w:val="none"/>
        <w:vertAlign w:val="baseline"/>
      </w:rPr>
    </w:lvl>
    <w:lvl w:ilvl="5">
      <w:start w:val="1"/>
      <w:numFmt w:val="decimal"/>
      <w:lvlText w:val=""/>
      <w:lvlJc w:val="left"/>
      <w:pPr>
        <w:ind w:left="709" w:hanging="709"/>
      </w:pPr>
      <w:rPr>
        <w:rFonts w:ascii="Garamond" w:cs="Garamond" w:eastAsia="Garamond" w:hAnsi="Garamond"/>
        <w:b w:val="1"/>
        <w:bCs w:val="1"/>
        <w:i w:val="0"/>
        <w:iCs w:val="0"/>
        <w:smallCaps w:val="0"/>
        <w:strike w:val="0"/>
        <w:color w:val="000000"/>
        <w:sz w:val="24"/>
        <w:szCs w:val="24"/>
        <w:u w:val="none"/>
        <w:vertAlign w:val="baseline"/>
      </w:rPr>
    </w:lvl>
    <w:lvl w:ilvl="6">
      <w:start w:val="1"/>
      <w:numFmt w:val="decimal"/>
      <w:lvlText w:val=""/>
      <w:lvlJc w:val="left"/>
      <w:pPr>
        <w:ind w:left="709" w:hanging="709"/>
      </w:pPr>
      <w:rPr>
        <w:rFonts w:ascii="Garamond" w:cs="Garamond" w:eastAsia="Garamond" w:hAnsi="Garamond"/>
        <w:b w:val="1"/>
        <w:bCs w:val="1"/>
        <w:i w:val="0"/>
        <w:iCs w:val="0"/>
        <w:smallCaps w:val="0"/>
        <w:strike w:val="0"/>
        <w:color w:val="000000"/>
        <w:sz w:val="24"/>
        <w:szCs w:val="24"/>
        <w:u w:val="none"/>
        <w:vertAlign w:val="baseline"/>
      </w:rPr>
    </w:lvl>
    <w:lvl w:ilvl="7">
      <w:start w:val="1"/>
      <w:numFmt w:val="decimal"/>
      <w:lvlText w:val="%8%6"/>
      <w:lvlJc w:val="left"/>
      <w:pPr>
        <w:ind w:left="709" w:hanging="709"/>
      </w:pPr>
      <w:rPr>
        <w:b w:val="0"/>
        <w:bCs w:val="0"/>
        <w:i w:val="0"/>
        <w:iCs w:val="0"/>
        <w:smallCaps w:val="0"/>
        <w:strike w:val="0"/>
        <w:color w:val="000000"/>
        <w:u w:val="none"/>
        <w:vertAlign w:val="baseline"/>
      </w:rPr>
    </w:lvl>
    <w:lvl w:ilvl="8">
      <w:start w:val="1"/>
      <w:numFmt w:val="decimal"/>
      <w:lvlText w:val=""/>
      <w:lvlJc w:val="left"/>
      <w:pPr>
        <w:ind w:left="709" w:hanging="709"/>
      </w:pPr>
      <w:rPr>
        <w:rFonts w:ascii="Garamond" w:cs="Garamond" w:eastAsia="Garamond" w:hAnsi="Garamond"/>
        <w:b w:val="0"/>
        <w:bCs w:val="0"/>
        <w:i w:val="0"/>
        <w:iCs w:val="0"/>
        <w:smallCaps w:val="0"/>
        <w:strike w:val="0"/>
        <w:color w:val="000000"/>
        <w:sz w:val="24"/>
        <w:szCs w:val="24"/>
        <w:u w:val="none"/>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1622" w:hanging="902.0000000000001"/>
      </w:pPr>
      <w:rPr/>
    </w:lvl>
    <w:lvl w:ilvl="3">
      <w:start w:val="1"/>
      <w:numFmt w:val="decimal"/>
      <w:lvlText w:val="%1.%2.%3.%4"/>
      <w:lvlJc w:val="left"/>
      <w:pPr>
        <w:ind w:left="2699" w:hanging="1077"/>
      </w:pPr>
      <w:rPr/>
    </w:lvl>
    <w:lvl w:ilvl="4">
      <w:start w:val="1"/>
      <w:numFmt w:val="lowerLetter"/>
      <w:lvlText w:val="(%5)"/>
      <w:lvlJc w:val="left"/>
      <w:pPr>
        <w:ind w:left="2699" w:hanging="1077"/>
      </w:pPr>
      <w:rPr/>
    </w:lvl>
    <w:lvl w:ilvl="5">
      <w:start w:val="1"/>
      <w:numFmt w:val="lowerRoman"/>
      <w:lvlText w:val="(%6)"/>
      <w:lvlJc w:val="left"/>
      <w:pPr>
        <w:ind w:left="3238" w:hanging="538"/>
      </w:pPr>
      <w:rPr/>
    </w:lvl>
    <w:lvl w:ilvl="6">
      <w:start w:val="1"/>
      <w:numFmt w:val="upperLetter"/>
      <w:lvlText w:val="(%7)"/>
      <w:lvlJc w:val="left"/>
      <w:pPr>
        <w:ind w:left="3912" w:hanging="674.0000000000005"/>
      </w:pPr>
      <w:rPr/>
    </w:lvl>
    <w:lvl w:ilvl="7">
      <w:start w:val="1"/>
      <w:numFmt w:val="upperRoman"/>
      <w:lvlText w:val="(%8)"/>
      <w:lvlJc w:val="left"/>
      <w:pPr>
        <w:ind w:left="4587" w:hanging="675"/>
      </w:pPr>
      <w:rPr/>
    </w:lvl>
    <w:lvl w:ilvl="8">
      <w:start w:val="1"/>
      <w:numFmt w:val="lowerRoman"/>
      <w:lvlText w:val="%9."/>
      <w:lvlJc w:val="left"/>
      <w:pPr>
        <w:ind w:left="5262" w:hanging="675"/>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lang w:val="en-GB"/>
      </w:rPr>
    </w:rPrDefault>
    <w:pPrDefault>
      <w:pPr>
        <w:spacing w:after="120" w:before="12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tabs>
        <w:tab w:val="left" w:leader="none" w:pos="1871"/>
      </w:tabs>
      <w:spacing w:before="240" w:lineRule="auto"/>
      <w:ind w:left="567" w:hanging="567"/>
      <w:jc w:val="both"/>
    </w:pPr>
    <w:rPr>
      <w:b w:val="1"/>
      <w:bCs w:val="1"/>
      <w:smallCaps w:val="1"/>
      <w:sz w:val="22"/>
      <w:szCs w:val="22"/>
    </w:rPr>
  </w:style>
  <w:style w:type="paragraph" w:styleId="Heading2">
    <w:name w:val="heading 2"/>
    <w:basedOn w:val="Normal"/>
    <w:next w:val="Normal"/>
    <w:pPr>
      <w:tabs>
        <w:tab w:val="left" w:leader="none" w:pos="1871"/>
      </w:tabs>
      <w:ind w:left="576" w:hanging="576"/>
      <w:jc w:val="both"/>
    </w:pPr>
    <w:rPr/>
  </w:style>
  <w:style w:type="paragraph" w:styleId="Heading3">
    <w:name w:val="heading 3"/>
    <w:basedOn w:val="Normal"/>
    <w:next w:val="Normal"/>
    <w:pPr>
      <w:ind w:left="720" w:hanging="720"/>
    </w:pPr>
    <w:rPr/>
  </w:style>
  <w:style w:type="paragraph" w:styleId="Heading4">
    <w:name w:val="heading 4"/>
    <w:basedOn w:val="Normal"/>
    <w:next w:val="Normal"/>
    <w:pPr>
      <w:keepNext w:val="1"/>
      <w:ind w:left="864" w:hanging="864"/>
    </w:pPr>
    <w:rPr/>
  </w:style>
  <w:style w:type="paragraph" w:styleId="Heading5">
    <w:name w:val="heading 5"/>
    <w:basedOn w:val="Normal"/>
    <w:next w:val="Normal"/>
    <w:pPr>
      <w:ind w:left="1826" w:hanging="964"/>
    </w:pPr>
    <w:rPr/>
  </w:style>
  <w:style w:type="paragraph" w:styleId="Heading6">
    <w:name w:val="heading 6"/>
    <w:basedOn w:val="Normal"/>
    <w:next w:val="Normal"/>
    <w:pPr>
      <w:spacing w:after="60" w:before="240" w:lineRule="auto"/>
      <w:ind w:left="1152" w:hanging="1152"/>
    </w:pPr>
    <w:rPr>
      <w:b w:val="1"/>
      <w:bCs w:val="1"/>
      <w:sz w:val="22"/>
      <w:szCs w:val="22"/>
    </w:rPr>
  </w:style>
  <w:style w:type="paragraph" w:styleId="Title">
    <w:name w:val="Title"/>
    <w:basedOn w:val="Normal"/>
    <w:next w:val="Normal"/>
    <w:pPr>
      <w:keepNext w:val="1"/>
      <w:keepLines w:val="1"/>
      <w:spacing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3.xml"/><Relationship Id="rId10" Type="http://schemas.openxmlformats.org/officeDocument/2006/relationships/footer" Target="footer2.xml"/><Relationship Id="rId12" Type="http://schemas.openxmlformats.org/officeDocument/2006/relationships/footer" Target="footer1.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Unbounded-regular.ttf"/><Relationship Id="rId8" Type="http://schemas.openxmlformats.org/officeDocument/2006/relationships/font" Target="fonts/Unbounded-bold.ttf"/></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3.png"/><Relationship Id="rId3" Type="http://schemas.openxmlformats.org/officeDocument/2006/relationships/image" Target="media/image8.png"/><Relationship Id="rId4" Type="http://schemas.openxmlformats.org/officeDocument/2006/relationships/image" Target="media/image9.png"/><Relationship Id="rId11" Type="http://schemas.openxmlformats.org/officeDocument/2006/relationships/image" Target="media/image10.png"/><Relationship Id="rId10" Type="http://schemas.openxmlformats.org/officeDocument/2006/relationships/image" Target="media/image4.png"/><Relationship Id="rId9" Type="http://schemas.openxmlformats.org/officeDocument/2006/relationships/image" Target="media/image7.png"/><Relationship Id="rId5" Type="http://schemas.openxmlformats.org/officeDocument/2006/relationships/image" Target="media/image6.png"/><Relationship Id="rId6" Type="http://schemas.openxmlformats.org/officeDocument/2006/relationships/image" Target="media/image11.png"/><Relationship Id="rId7" Type="http://schemas.openxmlformats.org/officeDocument/2006/relationships/image" Target="media/image5.png"/><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