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pPr>
      <w:r>
        <w:drawing>
          <wp:inline distT="0" distB="0" distL="0" distR="0">
            <wp:extent cx="1428750" cy="314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314325"/>
                    </a:xfrm>
                    <a:prstGeom prst="rect">
                      <a:avLst/>
                    </a:prstGeom>
                  </pic:spPr>
                </pic:pic>
              </a:graphicData>
            </a:graphic>
          </wp:inline>
        </w:drawing>
      </w:r>
    </w:p>
    <w:p>
      <w:pPr>
        <w:spacing w:after="80"/>
      </w:pPr>
      <w:r>
        <w:rPr>
          <w:rFonts w:ascii="Arial" w:cs="Arial" w:eastAsia="Arial" w:hAnsi="Arial"/>
          <w:b/>
          <w:bCs/>
          <w:color w:val="6D1DB0"/>
          <w:spacing w:val="40"/>
          <w:sz w:val="18"/>
          <w:szCs w:val="18"/>
        </w:rPr>
        <w:t xml:space="preserve">PLANTILLA EDITABLE</w:t>
      </w:r>
    </w:p>
    <w:p>
      <w:pPr>
        <w:spacing w:after="200"/>
      </w:pPr>
      <w:r>
        <w:rPr>
          <w:rFonts w:ascii="Arial" w:cs="Arial" w:eastAsia="Arial" w:hAnsi="Arial"/>
          <w:b/>
          <w:bCs/>
          <w:color w:val="1A1A22"/>
          <w:sz w:val="38"/>
          <w:szCs w:val="38"/>
        </w:rPr>
        <w:t xml:space="preserve">Reglamento interior de trabajo</w:t>
      </w:r>
    </w:p>
    <w:p>
      <w:pPr>
        <w:spacing w:after="180"/>
      </w:pPr>
      <w:r>
        <w:rPr>
          <w:rFonts w:ascii="Arial" w:cs="Arial" w:eastAsia="Arial" w:hAnsi="Arial"/>
          <w:color w:val="5A5A6E"/>
          <w:sz w:val="21"/>
          <w:szCs w:val="21"/>
        </w:rPr>
        <w:t xml:space="preserve">Redactada conforme a los artículos 422 a 425 y 330-D de la Ley Federal del Trabajo, con las reformas publicadas en el Diario Oficial de la Federación el 1 de mayo de 2019 y el 19 de diciembre de 2024.</w:t>
      </w:r>
    </w:p>
    <w:p>
      <w:pPr>
        <w:keepNext/>
        <w:spacing w:after="70" w:before="260"/>
      </w:pPr>
      <w:r>
        <w:rPr>
          <w:rFonts w:ascii="Arial" w:cs="Arial" w:eastAsia="Arial" w:hAnsi="Arial"/>
          <w:b/>
          <w:bCs/>
          <w:color w:val="6D1DB0"/>
          <w:sz w:val="24"/>
          <w:szCs w:val="24"/>
        </w:rPr>
        <w:t xml:space="preserve">Cómo usar esta plantilla</w:t>
      </w:r>
    </w:p>
    <w:p>
      <w:pPr>
        <w:spacing w:after="160"/>
        <w:jc w:val="both"/>
      </w:pPr>
      <w:r>
        <w:rPr>
          <w:rFonts w:ascii="Arial" w:cs="Arial" w:eastAsia="Arial" w:hAnsi="Arial"/>
          <w:color w:val="1A1A22"/>
          <w:sz w:val="21"/>
          <w:szCs w:val="21"/>
        </w:rPr>
        <w:t xml:space="preserve">Este documento es un modelo. No se deposita tal como está: cada campo entre corchetes debe sustituirse por la información real de su centro de trabajo, y los capítulos deben ajustarse a lo que de verdad ocurre en la empresa. Un reglamento copiado sin adaptar no sirve de nada ante una inspección, porque lo primero que se revisa es si el horario, el domicilio y los puestos coinciden con la realidad.</w:t>
      </w:r>
    </w:p>
    <w:p>
      <w:pPr>
        <w:pStyle w:val="ListParagraph"/>
        <w:numPr>
          <w:ilvl w:val="0"/>
          <w:numId w:val="1"/>
        </w:numPr>
        <w:spacing w:after="60"/>
        <w:jc w:val="both"/>
      </w:pPr>
      <w:r>
        <w:rPr>
          <w:rFonts w:ascii="Arial" w:cs="Arial" w:eastAsia="Arial" w:hAnsi="Arial"/>
          <w:color w:val="1A1A22"/>
          <w:sz w:val="21"/>
          <w:szCs w:val="21"/>
        </w:rPr>
        <w:t xml:space="preserve">Sustituya todo lo que aparece entre corchetes, por ejemplo [NOMBRE O RAZÓN SOCIAL] o [HORA DE ENTRADA]. Use la función Buscar de su procesador de textos con el carácter “[” para no dejar ninguno.</w:t>
      </w:r>
    </w:p>
    <w:p>
      <w:pPr>
        <w:pStyle w:val="ListParagraph"/>
        <w:numPr>
          <w:ilvl w:val="0"/>
          <w:numId w:val="1"/>
        </w:numPr>
        <w:spacing w:after="60"/>
        <w:jc w:val="both"/>
      </w:pPr>
      <w:r>
        <w:rPr>
          <w:rFonts w:ascii="Arial" w:cs="Arial" w:eastAsia="Arial" w:hAnsi="Arial"/>
          <w:color w:val="1A1A22"/>
          <w:sz w:val="21"/>
          <w:szCs w:val="21"/>
        </w:rPr>
        <w:t xml:space="preserve">Integre primero la comisión mixta, con igual número de representantes de las personas trabajadoras y de la persona empleadora. El reglamento lo elabora la comisión, no el área de recursos humanos por su cuenta (artículo 424, fracción I).</w:t>
      </w:r>
    </w:p>
    <w:p>
      <w:pPr>
        <w:pStyle w:val="ListParagraph"/>
        <w:numPr>
          <w:ilvl w:val="0"/>
          <w:numId w:val="1"/>
        </w:numPr>
        <w:spacing w:after="60"/>
        <w:jc w:val="both"/>
      </w:pPr>
      <w:r>
        <w:rPr>
          <w:rFonts w:ascii="Arial" w:cs="Arial" w:eastAsia="Arial" w:hAnsi="Arial"/>
          <w:color w:val="1A1A22"/>
          <w:sz w:val="21"/>
          <w:szCs w:val="21"/>
        </w:rPr>
        <w:t xml:space="preserve">Elimine los capítulos que no apliquen a su operación y agregue los que necesite. El capítulo XII, de teletrabajo, es obligatorio si la empresa no tiene contrato colectivo de trabajo y hay personal en esa modalidad.</w:t>
      </w:r>
    </w:p>
    <w:p>
      <w:pPr>
        <w:pStyle w:val="ListParagraph"/>
        <w:numPr>
          <w:ilvl w:val="0"/>
          <w:numId w:val="1"/>
        </w:numPr>
        <w:spacing w:after="60"/>
        <w:jc w:val="both"/>
      </w:pPr>
      <w:r>
        <w:rPr>
          <w:rFonts w:ascii="Arial" w:cs="Arial" w:eastAsia="Arial" w:hAnsi="Arial"/>
          <w:color w:val="1A1A22"/>
          <w:sz w:val="21"/>
          <w:szCs w:val="21"/>
        </w:rPr>
        <w:t xml:space="preserve">Deposite el reglamento ante el Centro Federal de Conciliación y Registro Laboral. Surte efectos desde la fecha del depósito, no desde la fecha de firma.</w:t>
      </w:r>
    </w:p>
    <w:p>
      <w:pPr>
        <w:pStyle w:val="ListParagraph"/>
        <w:numPr>
          <w:ilvl w:val="0"/>
          <w:numId w:val="1"/>
        </w:numPr>
        <w:spacing w:after="60"/>
        <w:jc w:val="both"/>
      </w:pPr>
      <w:r>
        <w:rPr>
          <w:rFonts w:ascii="Arial" w:cs="Arial" w:eastAsia="Arial" w:hAnsi="Arial"/>
          <w:color w:val="1A1A22"/>
          <w:sz w:val="21"/>
          <w:szCs w:val="21"/>
        </w:rPr>
        <w:t xml:space="preserve">Imprima el reglamento, repártalo entre el personal y fíjelo en los lugares más visibles del establecimiento. Las tres cosas las pide el artículo 425.</w:t>
      </w:r>
    </w:p>
    <w:tbl>
      <w:tblPr>
        <w:tblW w:type="dxa" w:w="9360"/>
        <w:tblBorders>
          <w:top w:val="single" w:color="F0C890" w:sz="6"/>
          <w:left w:val="single" w:color="E8933A" w:sz="18"/>
          <w:bottom w:val="single" w:color="F0C890" w:sz="6"/>
          <w:right w:val="single" w:color="F0C890" w:sz="6"/>
          <w:insideH w:val="none" w:color="FFFFFF" w:sz="0"/>
          <w:insideV w:val="none" w:color="FFFFFF" w:sz="0"/>
        </w:tblBorders>
      </w:tblPr>
      <w:tblGrid>
        <w:gridCol w:w="9360"/>
      </w:tblGrid>
      <w:tr>
        <w:tc>
          <w:tcPr>
            <w:tcW w:type="dxa" w:w="9360"/>
            <w:shd w:fill="FDF4E8" w:val="clear"/>
            <w:tcMar>
              <w:top w:type="dxa" w:w="120"/>
              <w:left w:type="dxa" w:w="200"/>
              <w:bottom w:type="dxa" w:w="120"/>
              <w:right w:type="dxa" w:w="200"/>
            </w:tcMar>
          </w:tcPr>
          <w:p>
            <w:pPr>
              <w:spacing w:after="60"/>
            </w:pPr>
            <w:r>
              <w:rPr>
                <w:rFonts w:ascii="Arial" w:cs="Arial" w:eastAsia="Arial" w:hAnsi="Arial"/>
                <w:b/>
                <w:bCs/>
                <w:color w:val="7A2E00"/>
                <w:sz w:val="20"/>
                <w:szCs w:val="20"/>
              </w:rPr>
              <w:t xml:space="preserve">Tres errores que conviene no cometer</w:t>
            </w:r>
          </w:p>
          <w:p>
            <w:pPr>
              <w:spacing w:after="60"/>
              <w:jc w:val="both"/>
            </w:pPr>
            <w:r>
              <w:rPr>
                <w:rFonts w:ascii="Arial" w:cs="Arial" w:eastAsia="Arial" w:hAnsi="Arial"/>
                <w:color w:val="7A2E00"/>
                <w:sz w:val="20"/>
                <w:szCs w:val="20"/>
              </w:rPr>
              <w:t xml:space="preserve">• </w:t>
            </w:r>
            <w:r>
              <w:rPr>
                <w:rFonts w:ascii="Arial" w:cs="Arial" w:eastAsia="Arial" w:hAnsi="Arial"/>
                <w:color w:val="7A2E00"/>
                <w:sz w:val="20"/>
                <w:szCs w:val="20"/>
              </w:rPr>
              <w:t xml:space="preserve">No incluya causas de rescisión de la relación de trabajo. Las causas de rescisión son únicamente las del artículo 47 de la Ley Federal del Trabajo y el propio instructivo del Centro Federal pide que no se incorporen al reglamento. El artículo 28 de esta plantilla lo deja asentado por escrito.</w:t>
            </w:r>
          </w:p>
          <w:p>
            <w:pPr>
              <w:spacing w:after="60"/>
              <w:jc w:val="both"/>
            </w:pPr>
            <w:r>
              <w:rPr>
                <w:rFonts w:ascii="Arial" w:cs="Arial" w:eastAsia="Arial" w:hAnsi="Arial"/>
                <w:color w:val="7A2E00"/>
                <w:sz w:val="20"/>
                <w:szCs w:val="20"/>
              </w:rPr>
              <w:t xml:space="preserve">• </w:t>
            </w:r>
            <w:r>
              <w:rPr>
                <w:rFonts w:ascii="Arial" w:cs="Arial" w:eastAsia="Arial" w:hAnsi="Arial"/>
                <w:color w:val="7A2E00"/>
                <w:sz w:val="20"/>
                <w:szCs w:val="20"/>
              </w:rPr>
              <w:t xml:space="preserve">No copie modelos que mencionen a la Junta de Conciliación y Arbitraje. La fracción II del artículo 424 fue reformada el 1 de mayo de 2019 y hoy nombra al Centro Federal de Conciliación y Registro Laboral. Muchas plantillas que circulan en internet siguen con la redacción derogada.</w:t>
            </w:r>
          </w:p>
          <w:p>
            <w:pPr>
              <w:spacing w:after="60"/>
              <w:jc w:val="both"/>
            </w:pPr>
            <w:r>
              <w:rPr>
                <w:rFonts w:ascii="Arial" w:cs="Arial" w:eastAsia="Arial" w:hAnsi="Arial"/>
                <w:color w:val="7A2E00"/>
                <w:sz w:val="20"/>
                <w:szCs w:val="20"/>
              </w:rPr>
              <w:t xml:space="preserve">• </w:t>
            </w:r>
            <w:r>
              <w:rPr>
                <w:rFonts w:ascii="Arial" w:cs="Arial" w:eastAsia="Arial" w:hAnsi="Arial"/>
                <w:color w:val="7A2E00"/>
                <w:sz w:val="20"/>
                <w:szCs w:val="20"/>
              </w:rPr>
              <w:t xml:space="preserve">No escriba en el reglamento información que no quiera que lea un competidor. El artículo 424 Bis obliga al Centro Federal a publicar en internet, de forma gratuita, el texto íntegro de todos los reglamentos depositados.</w:t>
            </w:r>
          </w:p>
        </w:tc>
      </w:tr>
    </w:tbl>
    <w:p>
      <w:pPr>
        <w:spacing w:before="140"/>
      </w:pPr>
      <w:r>
        <w:rPr>
          <w:rFonts w:ascii="Arial" w:cs="Arial" w:eastAsia="Arial" w:hAnsi="Arial"/>
          <w:i/>
          <w:iCs/>
          <w:color w:val="5A5A6E"/>
          <w:sz w:val="17"/>
          <w:szCs w:val="17"/>
        </w:rPr>
        <w:t xml:space="preserve">Plantilla preparada por el equipo de Sabionet. Documento informativo; no sustituye la asesoría de una persona profesional del derecho laboral.</w:t>
      </w:r>
    </w:p>
    <w:p>
      <w:r>
        <w:br w:type="page"/>
      </w:r>
    </w:p>
    <w:p>
      <w:pPr>
        <w:spacing w:after="200"/>
        <w:jc w:val="center"/>
      </w:pPr>
      <w:r>
        <w:rPr>
          <w:rFonts w:ascii="Arial" w:cs="Arial" w:eastAsia="Arial" w:hAnsi="Arial"/>
          <w:b/>
          <w:bCs/>
          <w:color w:val="1A1A22"/>
          <w:sz w:val="26"/>
          <w:szCs w:val="26"/>
        </w:rPr>
        <w:t xml:space="preserve">REGLAMENTO INTERIOR DE TRABAJO DE [NOMBRE O RAZÓN SOCIAL DE LA EMPRESA]</w:t>
      </w:r>
    </w:p>
    <w:p>
      <w:pPr>
        <w:spacing w:after="120"/>
        <w:jc w:val="both"/>
      </w:pPr>
      <w:r>
        <w:rPr>
          <w:rFonts w:ascii="Arial" w:cs="Arial" w:eastAsia="Arial" w:hAnsi="Arial"/>
          <w:i/>
          <w:iCs/>
          <w:color w:val="5A5A6E"/>
          <w:sz w:val="20"/>
          <w:szCs w:val="20"/>
        </w:rPr>
        <w:t xml:space="preserve">Celebrado por la comisión mixta integrada por los representantes de las personas trabajadoras y de la persona empleadora de [NOMBRE O RAZÓN SOCIAL], con domicilio en [DOMICILIO DEL CENTRO DE TRABAJO], en los términos de los artículos 422 a 425 de la Ley Federal del Trabajo, en [CIUDAD], a [FECHA DE FIRMA].</w:t>
      </w:r>
    </w:p>
    <w:p>
      <w:pPr>
        <w:pBdr>
          <w:bottom w:val="single" w:color="E2E2EA" w:sz="6" w:space="1"/>
        </w:pBdr>
        <w:spacing w:after="200" w:before="120"/>
      </w:pPr>
      <w:r>
        <w:rPr>
          <w:rFonts w:ascii="Arial" w:cs="Arial" w:eastAsia="Arial" w:hAnsi="Arial"/>
        </w:rPr>
        <w:t xml:space="preserve"/>
      </w:r>
    </w:p>
    <w:p>
      <w:pPr>
        <w:keepNext/>
        <w:spacing w:after="70" w:before="260"/>
      </w:pPr>
      <w:r>
        <w:rPr>
          <w:rFonts w:ascii="Arial" w:cs="Arial" w:eastAsia="Arial" w:hAnsi="Arial"/>
          <w:b/>
          <w:bCs/>
          <w:color w:val="6D1DB0"/>
          <w:sz w:val="24"/>
          <w:szCs w:val="24"/>
        </w:rPr>
        <w:t xml:space="preserve">CAPÍTULO I. DISPOSICIONES GENERALES</w:t>
      </w:r>
    </w:p>
    <w:p>
      <w:pPr>
        <w:keepNext/>
        <w:pBdr>
          <w:left w:val="single" w:color="D9C7F2" w:sz="12" w:space="8"/>
        </w:pBdr>
        <w:spacing w:after="200"/>
        <w:ind w:left="172"/>
      </w:pPr>
      <w:r>
        <w:rPr>
          <w:rFonts w:ascii="Arial" w:cs="Arial" w:eastAsia="Arial" w:hAnsi="Arial"/>
          <w:b/>
          <w:bCs/>
          <w:i/>
          <w:iCs/>
          <w:color w:val="5A5A6E"/>
          <w:sz w:val="17"/>
          <w:szCs w:val="17"/>
        </w:rPr>
        <w:t xml:space="preserve">Fundamento: </w:t>
      </w:r>
      <w:r>
        <w:rPr>
          <w:rFonts w:ascii="Arial" w:cs="Arial" w:eastAsia="Arial" w:hAnsi="Arial"/>
          <w:i/>
          <w:iCs/>
          <w:color w:val="5A5A6E"/>
          <w:sz w:val="17"/>
          <w:szCs w:val="17"/>
        </w:rPr>
        <w:t xml:space="preserve">Artículos 422 y 424 de la Ley Federal del Trabajo</w:t>
      </w:r>
    </w:p>
    <w:p>
      <w:pPr>
        <w:spacing w:after="180"/>
        <w:jc w:val="both"/>
      </w:pPr>
      <w:r>
        <w:rPr>
          <w:rFonts w:ascii="Arial" w:cs="Arial" w:eastAsia="Arial" w:hAnsi="Arial"/>
          <w:b/>
          <w:bCs/>
          <w:color w:val="1A1A22"/>
          <w:sz w:val="21"/>
          <w:szCs w:val="21"/>
        </w:rPr>
        <w:t xml:space="preserve">Artículo 1. </w:t>
      </w:r>
      <w:r>
        <w:rPr>
          <w:rFonts w:ascii="Arial" w:cs="Arial" w:eastAsia="Arial" w:hAnsi="Arial"/>
          <w:color w:val="1A1A22"/>
          <w:sz w:val="21"/>
          <w:szCs w:val="21"/>
        </w:rPr>
        <w:t xml:space="preserve">El presente Reglamento Interior de Trabajo es el conjunto de disposiciones obligatorias para las personas trabajadoras y para la persona empleadora en el desarrollo de los trabajos en [NOMBRE O RAZÓN SOCIAL], y se expide con fundamento en los artículos 422 a 425 de la Ley Federal del Trabajo.</w:t>
      </w:r>
    </w:p>
    <w:p>
      <w:pPr>
        <w:spacing w:after="180"/>
        <w:jc w:val="both"/>
      </w:pPr>
      <w:r>
        <w:rPr>
          <w:rFonts w:ascii="Arial" w:cs="Arial" w:eastAsia="Arial" w:hAnsi="Arial"/>
          <w:b/>
          <w:bCs/>
          <w:color w:val="1A1A22"/>
          <w:sz w:val="21"/>
          <w:szCs w:val="21"/>
        </w:rPr>
        <w:t xml:space="preserve">Artículo 2. </w:t>
      </w:r>
      <w:r>
        <w:rPr>
          <w:rFonts w:ascii="Arial" w:cs="Arial" w:eastAsia="Arial" w:hAnsi="Arial"/>
          <w:color w:val="1A1A22"/>
          <w:sz w:val="21"/>
          <w:szCs w:val="21"/>
        </w:rPr>
        <w:t xml:space="preserve">Este Reglamento fue elaborado y aprobado por la comisión mixta integrada por igual número de representantes de las personas trabajadoras y de la persona empleadora, conforme al artículo 424, fracción I, de la Ley Federal del Trabajo. El acta de integración de la comisión mixta forma parte de este documento como anexo.</w:t>
      </w:r>
    </w:p>
    <w:p>
      <w:pPr>
        <w:spacing w:after="180"/>
        <w:jc w:val="both"/>
      </w:pPr>
      <w:r>
        <w:rPr>
          <w:rFonts w:ascii="Arial" w:cs="Arial" w:eastAsia="Arial" w:hAnsi="Arial"/>
          <w:b/>
          <w:bCs/>
          <w:color w:val="1A1A22"/>
          <w:sz w:val="21"/>
          <w:szCs w:val="21"/>
        </w:rPr>
        <w:t xml:space="preserve">Artículo 3. </w:t>
      </w:r>
      <w:r>
        <w:rPr>
          <w:rFonts w:ascii="Arial" w:cs="Arial" w:eastAsia="Arial" w:hAnsi="Arial"/>
          <w:color w:val="1A1A22"/>
          <w:sz w:val="21"/>
          <w:szCs w:val="21"/>
        </w:rPr>
        <w:t xml:space="preserve">Sus disposiciones obligan a todas las personas que presten servicios en [NOMBRE O RAZÓN SOCIAL], cualquiera que sea su puesto, categoría o modalidad de contratación, y en todos sus establecimientos ubicados en [LISTA DE ESTABLECIMIENTOS O DOMICILIOS].</w:t>
      </w:r>
    </w:p>
    <w:p>
      <w:pPr>
        <w:spacing w:after="180"/>
        <w:jc w:val="both"/>
      </w:pPr>
      <w:r>
        <w:rPr>
          <w:rFonts w:ascii="Arial" w:cs="Arial" w:eastAsia="Arial" w:hAnsi="Arial"/>
          <w:b/>
          <w:bCs/>
          <w:color w:val="1A1A22"/>
          <w:sz w:val="21"/>
          <w:szCs w:val="21"/>
        </w:rPr>
        <w:t xml:space="preserve">Artículo 4. </w:t>
      </w:r>
      <w:r>
        <w:rPr>
          <w:rFonts w:ascii="Arial" w:cs="Arial" w:eastAsia="Arial" w:hAnsi="Arial"/>
          <w:color w:val="1A1A22"/>
          <w:sz w:val="21"/>
          <w:szCs w:val="21"/>
        </w:rPr>
        <w:t xml:space="preserve">No son materia de este Reglamento las normas de orden técnico y administrativo que la empresa formule directamente para la ejecución de los trabajos, conforme al artículo 422 de la Ley Federal del Trabajo. Dichas normas se comunican por separado y no forman parte de este documento.</w:t>
      </w:r>
    </w:p>
    <w:p>
      <w:pPr>
        <w:keepNext/>
        <w:spacing w:after="70" w:before="260"/>
      </w:pPr>
      <w:r>
        <w:rPr>
          <w:rFonts w:ascii="Arial" w:cs="Arial" w:eastAsia="Arial" w:hAnsi="Arial"/>
          <w:b/>
          <w:bCs/>
          <w:color w:val="6D1DB0"/>
          <w:sz w:val="24"/>
          <w:szCs w:val="24"/>
        </w:rPr>
        <w:t xml:space="preserve">CAPÍTULO II. HORAS DE ENTRADA Y SALIDA, TIEMPO DE COMIDAS Y PERIODOS DE REPOSO</w:t>
      </w:r>
    </w:p>
    <w:p>
      <w:pPr>
        <w:keepNext/>
        <w:pBdr>
          <w:left w:val="single" w:color="D9C7F2" w:sz="12" w:space="8"/>
        </w:pBdr>
        <w:spacing w:after="200"/>
        <w:ind w:left="172"/>
      </w:pPr>
      <w:r>
        <w:rPr>
          <w:rFonts w:ascii="Arial" w:cs="Arial" w:eastAsia="Arial" w:hAnsi="Arial"/>
          <w:b/>
          <w:bCs/>
          <w:i/>
          <w:iCs/>
          <w:color w:val="5A5A6E"/>
          <w:sz w:val="17"/>
          <w:szCs w:val="17"/>
        </w:rPr>
        <w:t xml:space="preserve">Fundamento: </w:t>
      </w:r>
      <w:r>
        <w:rPr>
          <w:rFonts w:ascii="Arial" w:cs="Arial" w:eastAsia="Arial" w:hAnsi="Arial"/>
          <w:i/>
          <w:iCs/>
          <w:color w:val="5A5A6E"/>
          <w:sz w:val="17"/>
          <w:szCs w:val="17"/>
        </w:rPr>
        <w:t xml:space="preserve">Artículo 423, fracción I</w:t>
      </w:r>
    </w:p>
    <w:p>
      <w:pPr>
        <w:spacing w:after="180"/>
        <w:jc w:val="both"/>
      </w:pPr>
      <w:r>
        <w:rPr>
          <w:rFonts w:ascii="Arial" w:cs="Arial" w:eastAsia="Arial" w:hAnsi="Arial"/>
          <w:b/>
          <w:bCs/>
          <w:color w:val="1A1A22"/>
          <w:sz w:val="21"/>
          <w:szCs w:val="21"/>
        </w:rPr>
        <w:t xml:space="preserve">Artículo 5. </w:t>
      </w:r>
      <w:r>
        <w:rPr>
          <w:rFonts w:ascii="Arial" w:cs="Arial" w:eastAsia="Arial" w:hAnsi="Arial"/>
          <w:color w:val="1A1A22"/>
          <w:sz w:val="21"/>
          <w:szCs w:val="21"/>
        </w:rPr>
        <w:t xml:space="preserve">La jornada de trabajo del personal de [ÁREA O CATEGORÍA] será de [HORA DE ENTRADA] a [HORA DE SALIDA], de [DÍA] a [DÍA]. Las jornadas que correspondan a otras áreas, turnos o categorías se detallan en el anexo [NÚMERO] de este Reglamento.</w:t>
      </w:r>
    </w:p>
    <w:p>
      <w:pPr>
        <w:spacing w:after="180"/>
        <w:jc w:val="both"/>
      </w:pPr>
      <w:r>
        <w:rPr>
          <w:rFonts w:ascii="Arial" w:cs="Arial" w:eastAsia="Arial" w:hAnsi="Arial"/>
          <w:b/>
          <w:bCs/>
          <w:color w:val="1A1A22"/>
          <w:sz w:val="21"/>
          <w:szCs w:val="21"/>
        </w:rPr>
        <w:t xml:space="preserve">Artículo 6. </w:t>
      </w:r>
      <w:r>
        <w:rPr>
          <w:rFonts w:ascii="Arial" w:cs="Arial" w:eastAsia="Arial" w:hAnsi="Arial"/>
          <w:color w:val="1A1A22"/>
          <w:sz w:val="21"/>
          <w:szCs w:val="21"/>
        </w:rPr>
        <w:t xml:space="preserve">Durante la jornada continua, las personas trabajadoras gozarán de un periodo de descanso de [MINUTOS] minutos para tomar sus alimentos, que se disfrutará de [HORA] a [HORA]. Quien no pueda salir del centro de trabajo durante ese periodo lo computará como tiempo efectivo de la jornada, conforme al artículo 63 de la Ley Federal del Trabajo.</w:t>
      </w:r>
    </w:p>
    <w:p>
      <w:pPr>
        <w:spacing w:after="180"/>
        <w:jc w:val="both"/>
      </w:pPr>
      <w:r>
        <w:rPr>
          <w:rFonts w:ascii="Arial" w:cs="Arial" w:eastAsia="Arial" w:hAnsi="Arial"/>
          <w:b/>
          <w:bCs/>
          <w:color w:val="1A1A22"/>
          <w:sz w:val="21"/>
          <w:szCs w:val="21"/>
        </w:rPr>
        <w:t xml:space="preserve">Artículo 7. </w:t>
      </w:r>
      <w:r>
        <w:rPr>
          <w:rFonts w:ascii="Arial" w:cs="Arial" w:eastAsia="Arial" w:hAnsi="Arial"/>
          <w:color w:val="1A1A22"/>
          <w:sz w:val="21"/>
          <w:szCs w:val="21"/>
        </w:rPr>
        <w:t xml:space="preserve">Además del descanso anterior, se otorgarán los periodos de reposo de [MINUTOS] minutos previstos para [DESCRIBIR PUESTOS O ACTIVIDADES], en los horarios que fije el área responsable.</w:t>
      </w:r>
    </w:p>
    <w:p>
      <w:pPr>
        <w:keepNext/>
        <w:spacing w:after="70" w:before="260"/>
      </w:pPr>
      <w:r>
        <w:rPr>
          <w:rFonts w:ascii="Arial" w:cs="Arial" w:eastAsia="Arial" w:hAnsi="Arial"/>
          <w:b/>
          <w:bCs/>
          <w:color w:val="6D1DB0"/>
          <w:sz w:val="24"/>
          <w:szCs w:val="24"/>
        </w:rPr>
        <w:t xml:space="preserve">CAPÍTULO III. LUGAR Y MOMENTO EN QUE COMIENZA Y TERMINA LA JORNADA</w:t>
      </w:r>
    </w:p>
    <w:p>
      <w:pPr>
        <w:keepNext/>
        <w:pBdr>
          <w:left w:val="single" w:color="D9C7F2" w:sz="12" w:space="8"/>
        </w:pBdr>
        <w:spacing w:after="200"/>
        <w:ind w:left="172"/>
      </w:pPr>
      <w:r>
        <w:rPr>
          <w:rFonts w:ascii="Arial" w:cs="Arial" w:eastAsia="Arial" w:hAnsi="Arial"/>
          <w:b/>
          <w:bCs/>
          <w:i/>
          <w:iCs/>
          <w:color w:val="5A5A6E"/>
          <w:sz w:val="17"/>
          <w:szCs w:val="17"/>
        </w:rPr>
        <w:t xml:space="preserve">Fundamento: </w:t>
      </w:r>
      <w:r>
        <w:rPr>
          <w:rFonts w:ascii="Arial" w:cs="Arial" w:eastAsia="Arial" w:hAnsi="Arial"/>
          <w:i/>
          <w:iCs/>
          <w:color w:val="5A5A6E"/>
          <w:sz w:val="17"/>
          <w:szCs w:val="17"/>
        </w:rPr>
        <w:t xml:space="preserve">Artículo 423, fracción II</w:t>
      </w:r>
    </w:p>
    <w:p>
      <w:pPr>
        <w:spacing w:after="180"/>
        <w:jc w:val="both"/>
      </w:pPr>
      <w:r>
        <w:rPr>
          <w:rFonts w:ascii="Arial" w:cs="Arial" w:eastAsia="Arial" w:hAnsi="Arial"/>
          <w:b/>
          <w:bCs/>
          <w:color w:val="1A1A22"/>
          <w:sz w:val="21"/>
          <w:szCs w:val="21"/>
        </w:rPr>
        <w:t xml:space="preserve">Artículo 8. </w:t>
      </w:r>
      <w:r>
        <w:rPr>
          <w:rFonts w:ascii="Arial" w:cs="Arial" w:eastAsia="Arial" w:hAnsi="Arial"/>
          <w:color w:val="1A1A22"/>
          <w:sz w:val="21"/>
          <w:szCs w:val="21"/>
        </w:rPr>
        <w:t xml:space="preserve">La jornada comienza en el momento en que la persona trabajadora se encuentra a disposición de la persona empleadora en su puesto o área de trabajo, ubicado en [DESCRIBIR EL LUGAR], y concluye cuando deja de estarlo. El traslado desde el acceso del inmueble hasta el puesto no forma parte de la jornada, salvo que la naturaleza del trabajo exija lo contrario.</w:t>
      </w:r>
    </w:p>
    <w:p>
      <w:pPr>
        <w:spacing w:after="180"/>
        <w:jc w:val="both"/>
      </w:pPr>
      <w:r>
        <w:rPr>
          <w:rFonts w:ascii="Arial" w:cs="Arial" w:eastAsia="Arial" w:hAnsi="Arial"/>
          <w:b/>
          <w:bCs/>
          <w:color w:val="1A1A22"/>
          <w:sz w:val="21"/>
          <w:szCs w:val="21"/>
        </w:rPr>
        <w:t xml:space="preserve">Artículo 9. </w:t>
      </w:r>
      <w:r>
        <w:rPr>
          <w:rFonts w:ascii="Arial" w:cs="Arial" w:eastAsia="Arial" w:hAnsi="Arial"/>
          <w:color w:val="1A1A22"/>
          <w:sz w:val="21"/>
          <w:szCs w:val="21"/>
        </w:rPr>
        <w:t xml:space="preserve">El registro de asistencia se realizará mediante [DESCRIBIR EL MEDIO: reloj checador, aplicación, lista firmada], al inicio y al término de la jornada, así como al salir y regresar del periodo de comida. El registro es personal e intransferible.</w:t>
      </w:r>
    </w:p>
    <w:p>
      <w:pPr>
        <w:keepNext/>
        <w:spacing w:after="70" w:before="260"/>
      </w:pPr>
      <w:r>
        <w:rPr>
          <w:rFonts w:ascii="Arial" w:cs="Arial" w:eastAsia="Arial" w:hAnsi="Arial"/>
          <w:b/>
          <w:bCs/>
          <w:color w:val="6D1DB0"/>
          <w:sz w:val="24"/>
          <w:szCs w:val="24"/>
        </w:rPr>
        <w:t xml:space="preserve">CAPÍTULO IV. LIMPIEZA DE INSTALACIONES, MAQUINARIA Y ÚTILES DE TRABAJO</w:t>
      </w:r>
    </w:p>
    <w:p>
      <w:pPr>
        <w:keepNext/>
        <w:pBdr>
          <w:left w:val="single" w:color="D9C7F2" w:sz="12" w:space="8"/>
        </w:pBdr>
        <w:spacing w:after="200"/>
        <w:ind w:left="172"/>
      </w:pPr>
      <w:r>
        <w:rPr>
          <w:rFonts w:ascii="Arial" w:cs="Arial" w:eastAsia="Arial" w:hAnsi="Arial"/>
          <w:b/>
          <w:bCs/>
          <w:i/>
          <w:iCs/>
          <w:color w:val="5A5A6E"/>
          <w:sz w:val="17"/>
          <w:szCs w:val="17"/>
        </w:rPr>
        <w:t xml:space="preserve">Fundamento: </w:t>
      </w:r>
      <w:r>
        <w:rPr>
          <w:rFonts w:ascii="Arial" w:cs="Arial" w:eastAsia="Arial" w:hAnsi="Arial"/>
          <w:i/>
          <w:iCs/>
          <w:color w:val="5A5A6E"/>
          <w:sz w:val="17"/>
          <w:szCs w:val="17"/>
        </w:rPr>
        <w:t xml:space="preserve">Artículo 423, fracción III</w:t>
      </w:r>
    </w:p>
    <w:p>
      <w:pPr>
        <w:spacing w:after="180"/>
        <w:jc w:val="both"/>
      </w:pPr>
      <w:r>
        <w:rPr>
          <w:rFonts w:ascii="Arial" w:cs="Arial" w:eastAsia="Arial" w:hAnsi="Arial"/>
          <w:b/>
          <w:bCs/>
          <w:color w:val="1A1A22"/>
          <w:sz w:val="21"/>
          <w:szCs w:val="21"/>
        </w:rPr>
        <w:t xml:space="preserve">Artículo 10. </w:t>
      </w:r>
      <w:r>
        <w:rPr>
          <w:rFonts w:ascii="Arial" w:cs="Arial" w:eastAsia="Arial" w:hAnsi="Arial"/>
          <w:color w:val="1A1A22"/>
          <w:sz w:val="21"/>
          <w:szCs w:val="21"/>
        </w:rPr>
        <w:t xml:space="preserve">La limpieza general de las instalaciones se realizará los días [DÍAS] en el horario de [HORA] a [HORA]. La limpieza de la maquinaria, aparatos y útiles de trabajo se realizará [FRECUENCIA: al término de cada turno, semanalmente] y estará a cargo de [ÁREA O PUESTO RESPONSABLE].</w:t>
      </w:r>
    </w:p>
    <w:p>
      <w:pPr>
        <w:spacing w:after="180"/>
        <w:jc w:val="both"/>
      </w:pPr>
      <w:r>
        <w:rPr>
          <w:rFonts w:ascii="Arial" w:cs="Arial" w:eastAsia="Arial" w:hAnsi="Arial"/>
          <w:b/>
          <w:bCs/>
          <w:color w:val="1A1A22"/>
          <w:sz w:val="21"/>
          <w:szCs w:val="21"/>
        </w:rPr>
        <w:t xml:space="preserve">Artículo 11. </w:t>
      </w:r>
      <w:r>
        <w:rPr>
          <w:rFonts w:ascii="Arial" w:cs="Arial" w:eastAsia="Arial" w:hAnsi="Arial"/>
          <w:color w:val="1A1A22"/>
          <w:sz w:val="21"/>
          <w:szCs w:val="21"/>
        </w:rPr>
        <w:t xml:space="preserve">Cada persona trabajadora es responsable del orden y la limpieza de su puesto y del cuidado de las herramientas y el equipo que se le asignen, y deberá reportar de inmediato cualquier desperfecto a [PUESTO RESPONSABLE].</w:t>
      </w:r>
    </w:p>
    <w:p>
      <w:pPr>
        <w:keepNext/>
        <w:spacing w:after="70" w:before="260"/>
      </w:pPr>
      <w:r>
        <w:rPr>
          <w:rFonts w:ascii="Arial" w:cs="Arial" w:eastAsia="Arial" w:hAnsi="Arial"/>
          <w:b/>
          <w:bCs/>
          <w:color w:val="6D1DB0"/>
          <w:sz w:val="24"/>
          <w:szCs w:val="24"/>
        </w:rPr>
        <w:t xml:space="preserve">CAPÍTULO V. DÍAS Y LUGARES DE PAGO</w:t>
      </w:r>
    </w:p>
    <w:p>
      <w:pPr>
        <w:keepNext/>
        <w:pBdr>
          <w:left w:val="single" w:color="D9C7F2" w:sz="12" w:space="8"/>
        </w:pBdr>
        <w:spacing w:after="200"/>
        <w:ind w:left="172"/>
      </w:pPr>
      <w:r>
        <w:rPr>
          <w:rFonts w:ascii="Arial" w:cs="Arial" w:eastAsia="Arial" w:hAnsi="Arial"/>
          <w:b/>
          <w:bCs/>
          <w:i/>
          <w:iCs/>
          <w:color w:val="5A5A6E"/>
          <w:sz w:val="17"/>
          <w:szCs w:val="17"/>
        </w:rPr>
        <w:t xml:space="preserve">Fundamento: </w:t>
      </w:r>
      <w:r>
        <w:rPr>
          <w:rFonts w:ascii="Arial" w:cs="Arial" w:eastAsia="Arial" w:hAnsi="Arial"/>
          <w:i/>
          <w:iCs/>
          <w:color w:val="5A5A6E"/>
          <w:sz w:val="17"/>
          <w:szCs w:val="17"/>
        </w:rPr>
        <w:t xml:space="preserve">Artículo 423, fracción IV</w:t>
      </w:r>
    </w:p>
    <w:p>
      <w:pPr>
        <w:spacing w:after="180"/>
        <w:jc w:val="both"/>
      </w:pPr>
      <w:r>
        <w:rPr>
          <w:rFonts w:ascii="Arial" w:cs="Arial" w:eastAsia="Arial" w:hAnsi="Arial"/>
          <w:b/>
          <w:bCs/>
          <w:color w:val="1A1A22"/>
          <w:sz w:val="21"/>
          <w:szCs w:val="21"/>
        </w:rPr>
        <w:t xml:space="preserve">Artículo 12. </w:t>
      </w:r>
      <w:r>
        <w:rPr>
          <w:rFonts w:ascii="Arial" w:cs="Arial" w:eastAsia="Arial" w:hAnsi="Arial"/>
          <w:color w:val="1A1A22"/>
          <w:sz w:val="21"/>
          <w:szCs w:val="21"/>
        </w:rPr>
        <w:t xml:space="preserve">El salario se pagará los días [DÍAS DE PAGO], con periodicidad [SEMANAL, QUINCENAL O CATORCENAL], mediante [MEDIO DE PAGO: transferencia a la cuenta de la persona trabajadora, depósito en tarjeta de nómina]. Cuando el día de pago coincida con un día de descanso o inhábil, el pago se realizará el día hábil inmediato anterior.</w:t>
      </w:r>
    </w:p>
    <w:p>
      <w:pPr>
        <w:spacing w:after="180"/>
        <w:jc w:val="both"/>
      </w:pPr>
      <w:r>
        <w:rPr>
          <w:rFonts w:ascii="Arial" w:cs="Arial" w:eastAsia="Arial" w:hAnsi="Arial"/>
          <w:b/>
          <w:bCs/>
          <w:color w:val="1A1A22"/>
          <w:sz w:val="21"/>
          <w:szCs w:val="21"/>
        </w:rPr>
        <w:t xml:space="preserve">Artículo 13. </w:t>
      </w:r>
      <w:r>
        <w:rPr>
          <w:rFonts w:ascii="Arial" w:cs="Arial" w:eastAsia="Arial" w:hAnsi="Arial"/>
          <w:color w:val="1A1A22"/>
          <w:sz w:val="21"/>
          <w:szCs w:val="21"/>
        </w:rPr>
        <w:t xml:space="preserve">El recibo de nómina se entregará en formato digital a través de [MEDIO], conforme a las disposiciones fiscales aplicables, y estará disponible para su consulta en [DESCRIBIR].</w:t>
      </w:r>
    </w:p>
    <w:p>
      <w:pPr>
        <w:keepNext/>
        <w:spacing w:after="70" w:before="260"/>
      </w:pPr>
      <w:r>
        <w:rPr>
          <w:rFonts w:ascii="Arial" w:cs="Arial" w:eastAsia="Arial" w:hAnsi="Arial"/>
          <w:b/>
          <w:bCs/>
          <w:color w:val="6D1DB0"/>
          <w:sz w:val="24"/>
          <w:szCs w:val="24"/>
        </w:rPr>
        <w:t xml:space="preserve">CAPÍTULO VI. USO DE ASIENTOS O SILLAS CON RESPALDO</w:t>
      </w:r>
    </w:p>
    <w:p>
      <w:pPr>
        <w:keepNext/>
        <w:pBdr>
          <w:left w:val="single" w:color="D9C7F2" w:sz="12" w:space="8"/>
        </w:pBdr>
        <w:spacing w:after="200"/>
        <w:ind w:left="172"/>
      </w:pPr>
      <w:r>
        <w:rPr>
          <w:rFonts w:ascii="Arial" w:cs="Arial" w:eastAsia="Arial" w:hAnsi="Arial"/>
          <w:b/>
          <w:bCs/>
          <w:i/>
          <w:iCs/>
          <w:color w:val="5A5A6E"/>
          <w:sz w:val="17"/>
          <w:szCs w:val="17"/>
        </w:rPr>
        <w:t xml:space="preserve">Fundamento: </w:t>
      </w:r>
      <w:r>
        <w:rPr>
          <w:rFonts w:ascii="Arial" w:cs="Arial" w:eastAsia="Arial" w:hAnsi="Arial"/>
          <w:i/>
          <w:iCs/>
          <w:color w:val="5A5A6E"/>
          <w:sz w:val="17"/>
          <w:szCs w:val="17"/>
        </w:rPr>
        <w:t xml:space="preserve">Artículo 423, fracción V, reformada por decreto publicado el 19 de diciembre de 2024</w:t>
      </w:r>
    </w:p>
    <w:p>
      <w:pPr>
        <w:spacing w:after="180"/>
        <w:jc w:val="both"/>
      </w:pPr>
      <w:r>
        <w:rPr>
          <w:rFonts w:ascii="Arial" w:cs="Arial" w:eastAsia="Arial" w:hAnsi="Arial"/>
          <w:b/>
          <w:bCs/>
          <w:color w:val="1A1A22"/>
          <w:sz w:val="21"/>
          <w:szCs w:val="21"/>
        </w:rPr>
        <w:t xml:space="preserve">Artículo 14. </w:t>
      </w:r>
      <w:r>
        <w:rPr>
          <w:rFonts w:ascii="Arial" w:cs="Arial" w:eastAsia="Arial" w:hAnsi="Arial"/>
          <w:color w:val="1A1A22"/>
          <w:sz w:val="21"/>
          <w:szCs w:val="21"/>
        </w:rPr>
        <w:t xml:space="preserve">La persona empleadora pondrá a disposición de las personas trabajadoras el número suficiente de asientos o sillas con respaldo en [DESCRIBIR LAS ÁREAS: piso de venta, líneas de producción, módulos de atención], conforme al artículo 132, fracción V, de la Ley Federal del Trabajo.</w:t>
      </w:r>
    </w:p>
    <w:p>
      <w:pPr>
        <w:spacing w:after="180"/>
        <w:jc w:val="both"/>
      </w:pPr>
      <w:r>
        <w:rPr>
          <w:rFonts w:ascii="Arial" w:cs="Arial" w:eastAsia="Arial" w:hAnsi="Arial"/>
          <w:b/>
          <w:bCs/>
          <w:color w:val="1A1A22"/>
          <w:sz w:val="21"/>
          <w:szCs w:val="21"/>
        </w:rPr>
        <w:t xml:space="preserve">Artículo 15. </w:t>
      </w:r>
      <w:r>
        <w:rPr>
          <w:rFonts w:ascii="Arial" w:cs="Arial" w:eastAsia="Arial" w:hAnsi="Arial"/>
          <w:color w:val="1A1A22"/>
          <w:sz w:val="21"/>
          <w:szCs w:val="21"/>
        </w:rPr>
        <w:t xml:space="preserve">Las personas trabajadoras podrán usar los asientos durante su jornada, en los periodos de reposo señalados en el artículo 7 de este Reglamento y durante el desarrollo de sus labores cuando la naturaleza de la actividad lo permita. Queda prohibido impedir o desalentar su uso.</w:t>
      </w:r>
    </w:p>
    <w:p>
      <w:pPr>
        <w:keepNext/>
        <w:spacing w:after="70" w:before="260"/>
      </w:pPr>
      <w:r>
        <w:rPr>
          <w:rFonts w:ascii="Arial" w:cs="Arial" w:eastAsia="Arial" w:hAnsi="Arial"/>
          <w:b/>
          <w:bCs/>
          <w:color w:val="6D1DB0"/>
          <w:sz w:val="24"/>
          <w:szCs w:val="24"/>
        </w:rPr>
        <w:t xml:space="preserve">CAPÍTULO VII. PREVENCIÓN DE RIESGOS DE TRABAJO Y PRIMEROS AUXILIOS</w:t>
      </w:r>
    </w:p>
    <w:p>
      <w:pPr>
        <w:keepNext/>
        <w:pBdr>
          <w:left w:val="single" w:color="D9C7F2" w:sz="12" w:space="8"/>
        </w:pBdr>
        <w:spacing w:after="200"/>
        <w:ind w:left="172"/>
      </w:pPr>
      <w:r>
        <w:rPr>
          <w:rFonts w:ascii="Arial" w:cs="Arial" w:eastAsia="Arial" w:hAnsi="Arial"/>
          <w:b/>
          <w:bCs/>
          <w:i/>
          <w:iCs/>
          <w:color w:val="5A5A6E"/>
          <w:sz w:val="17"/>
          <w:szCs w:val="17"/>
        </w:rPr>
        <w:t xml:space="preserve">Fundamento: </w:t>
      </w:r>
      <w:r>
        <w:rPr>
          <w:rFonts w:ascii="Arial" w:cs="Arial" w:eastAsia="Arial" w:hAnsi="Arial"/>
          <w:i/>
          <w:iCs/>
          <w:color w:val="5A5A6E"/>
          <w:sz w:val="17"/>
          <w:szCs w:val="17"/>
        </w:rPr>
        <w:t xml:space="preserve">Artículo 423, fracción VI</w:t>
      </w:r>
    </w:p>
    <w:p>
      <w:pPr>
        <w:spacing w:after="180"/>
        <w:jc w:val="both"/>
      </w:pPr>
      <w:r>
        <w:rPr>
          <w:rFonts w:ascii="Arial" w:cs="Arial" w:eastAsia="Arial" w:hAnsi="Arial"/>
          <w:b/>
          <w:bCs/>
          <w:color w:val="1A1A22"/>
          <w:sz w:val="21"/>
          <w:szCs w:val="21"/>
        </w:rPr>
        <w:t xml:space="preserve">Artículo 16. </w:t>
      </w:r>
      <w:r>
        <w:rPr>
          <w:rFonts w:ascii="Arial" w:cs="Arial" w:eastAsia="Arial" w:hAnsi="Arial"/>
          <w:color w:val="1A1A22"/>
          <w:sz w:val="21"/>
          <w:szCs w:val="21"/>
        </w:rPr>
        <w:t xml:space="preserve">Las personas trabajadoras deberán usar en todo momento el equipo de protección personal que se les proporcione para su actividad, y cumplir las disposiciones de las Normas Oficiales Mexicanas de seguridad y salud en el trabajo aplicables a [DESCRIBIR LA ACTIVIDAD].</w:t>
      </w:r>
    </w:p>
    <w:p>
      <w:pPr>
        <w:spacing w:after="180"/>
        <w:jc w:val="both"/>
      </w:pPr>
      <w:r>
        <w:rPr>
          <w:rFonts w:ascii="Arial" w:cs="Arial" w:eastAsia="Arial" w:hAnsi="Arial"/>
          <w:b/>
          <w:bCs/>
          <w:color w:val="1A1A22"/>
          <w:sz w:val="21"/>
          <w:szCs w:val="21"/>
        </w:rPr>
        <w:t xml:space="preserve">Artículo 17. </w:t>
      </w:r>
      <w:r>
        <w:rPr>
          <w:rFonts w:ascii="Arial" w:cs="Arial" w:eastAsia="Arial" w:hAnsi="Arial"/>
          <w:color w:val="1A1A22"/>
          <w:sz w:val="21"/>
          <w:szCs w:val="21"/>
        </w:rPr>
        <w:t xml:space="preserve">El botiquín de primeros auxilios se ubica en [UBICACIÓN]. En caso de accidente se dará aviso inmediato a [PUESTO RESPONSABLE] y se prestarán los primeros auxilios por el personal capacitado para ello, sin mover a la persona lesionada salvo que corra peligro. Los números de emergencia se encuentran publicados en [UBICACIÓN].</w:t>
      </w:r>
    </w:p>
    <w:p>
      <w:pPr>
        <w:spacing w:after="180"/>
        <w:jc w:val="both"/>
      </w:pPr>
      <w:r>
        <w:rPr>
          <w:rFonts w:ascii="Arial" w:cs="Arial" w:eastAsia="Arial" w:hAnsi="Arial"/>
          <w:b/>
          <w:bCs/>
          <w:color w:val="1A1A22"/>
          <w:sz w:val="21"/>
          <w:szCs w:val="21"/>
        </w:rPr>
        <w:t xml:space="preserve">Artículo 18. </w:t>
      </w:r>
      <w:r>
        <w:rPr>
          <w:rFonts w:ascii="Arial" w:cs="Arial" w:eastAsia="Arial" w:hAnsi="Arial"/>
          <w:color w:val="1A1A22"/>
          <w:sz w:val="21"/>
          <w:szCs w:val="21"/>
        </w:rPr>
        <w:t xml:space="preserve">La Comisión de Seguridad e Higiene realizará los recorridos de verificación con una periodicidad [PERIODICIDAD] y sus actas estarán a disposición de las personas trabajadoras en [UBICACIÓN].</w:t>
      </w:r>
    </w:p>
    <w:p>
      <w:pPr>
        <w:keepNext/>
        <w:spacing w:after="70" w:before="260"/>
      </w:pPr>
      <w:r>
        <w:rPr>
          <w:rFonts w:ascii="Arial" w:cs="Arial" w:eastAsia="Arial" w:hAnsi="Arial"/>
          <w:b/>
          <w:bCs/>
          <w:color w:val="6D1DB0"/>
          <w:sz w:val="24"/>
          <w:szCs w:val="24"/>
        </w:rPr>
        <w:t xml:space="preserve">CAPÍTULO VIII. LABORES PROHIBIDAS A PERSONAS MENORES Y PROTECCIÓN A TRABAJADORAS EMBARAZADAS</w:t>
      </w:r>
    </w:p>
    <w:p>
      <w:pPr>
        <w:keepNext/>
        <w:pBdr>
          <w:left w:val="single" w:color="D9C7F2" w:sz="12" w:space="8"/>
        </w:pBdr>
        <w:spacing w:after="200"/>
        <w:ind w:left="172"/>
      </w:pPr>
      <w:r>
        <w:rPr>
          <w:rFonts w:ascii="Arial" w:cs="Arial" w:eastAsia="Arial" w:hAnsi="Arial"/>
          <w:b/>
          <w:bCs/>
          <w:i/>
          <w:iCs/>
          <w:color w:val="5A5A6E"/>
          <w:sz w:val="17"/>
          <w:szCs w:val="17"/>
        </w:rPr>
        <w:t xml:space="preserve">Fundamento: </w:t>
      </w:r>
      <w:r>
        <w:rPr>
          <w:rFonts w:ascii="Arial" w:cs="Arial" w:eastAsia="Arial" w:hAnsi="Arial"/>
          <w:i/>
          <w:iCs/>
          <w:color w:val="5A5A6E"/>
          <w:sz w:val="17"/>
          <w:szCs w:val="17"/>
        </w:rPr>
        <w:t xml:space="preserve">Artículo 423, fracción VII</w:t>
      </w:r>
    </w:p>
    <w:p>
      <w:pPr>
        <w:spacing w:after="180"/>
        <w:jc w:val="both"/>
      </w:pPr>
      <w:r>
        <w:rPr>
          <w:rFonts w:ascii="Arial" w:cs="Arial" w:eastAsia="Arial" w:hAnsi="Arial"/>
          <w:b/>
          <w:bCs/>
          <w:color w:val="1A1A22"/>
          <w:sz w:val="21"/>
          <w:szCs w:val="21"/>
        </w:rPr>
        <w:t xml:space="preserve">Artículo 19. </w:t>
      </w:r>
      <w:r>
        <w:rPr>
          <w:rFonts w:ascii="Arial" w:cs="Arial" w:eastAsia="Arial" w:hAnsi="Arial"/>
          <w:color w:val="1A1A22"/>
          <w:sz w:val="21"/>
          <w:szCs w:val="21"/>
        </w:rPr>
        <w:t xml:space="preserve">Queda prohibido ocupar a personas menores de dieciocho años en las labores insalubres o peligrosas señaladas en el artículo 176 de la Ley Federal del Trabajo, y en particular en [DESCRIBIR LAS LABORES DE LA EMPRESA QUE ENCUADREN].</w:t>
      </w:r>
    </w:p>
    <w:p>
      <w:pPr>
        <w:spacing w:after="180"/>
        <w:jc w:val="both"/>
      </w:pPr>
      <w:r>
        <w:rPr>
          <w:rFonts w:ascii="Arial" w:cs="Arial" w:eastAsia="Arial" w:hAnsi="Arial"/>
          <w:b/>
          <w:bCs/>
          <w:color w:val="1A1A22"/>
          <w:sz w:val="21"/>
          <w:szCs w:val="21"/>
        </w:rPr>
        <w:t xml:space="preserve">Artículo 20. </w:t>
      </w:r>
      <w:r>
        <w:rPr>
          <w:rFonts w:ascii="Arial" w:cs="Arial" w:eastAsia="Arial" w:hAnsi="Arial"/>
          <w:color w:val="1A1A22"/>
          <w:sz w:val="21"/>
          <w:szCs w:val="21"/>
        </w:rPr>
        <w:t xml:space="preserve">Las trabajadoras en periodo de gestación o de lactancia no realizarán las labores señaladas en el artículo anterior ni levantarán, tirarán o empujarán grandes pesos. A solicitud de la trabajadora, y previa autorización médica, se le reasignará a una actividad compatible sin que ello afecte su salario, categoría ni prestaciones.</w:t>
      </w:r>
    </w:p>
    <w:p>
      <w:pPr>
        <w:keepNext/>
        <w:spacing w:after="70" w:before="260"/>
      </w:pPr>
      <w:r>
        <w:rPr>
          <w:rFonts w:ascii="Arial" w:cs="Arial" w:eastAsia="Arial" w:hAnsi="Arial"/>
          <w:b/>
          <w:bCs/>
          <w:color w:val="6D1DB0"/>
          <w:sz w:val="24"/>
          <w:szCs w:val="24"/>
        </w:rPr>
        <w:t xml:space="preserve">CAPÍTULO IX. EXÁMENES MÉDICOS Y MEDIDAS PROFILÁCTICAS</w:t>
      </w:r>
    </w:p>
    <w:p>
      <w:pPr>
        <w:keepNext/>
        <w:pBdr>
          <w:left w:val="single" w:color="D9C7F2" w:sz="12" w:space="8"/>
        </w:pBdr>
        <w:spacing w:after="200"/>
        <w:ind w:left="172"/>
      </w:pPr>
      <w:r>
        <w:rPr>
          <w:rFonts w:ascii="Arial" w:cs="Arial" w:eastAsia="Arial" w:hAnsi="Arial"/>
          <w:b/>
          <w:bCs/>
          <w:i/>
          <w:iCs/>
          <w:color w:val="5A5A6E"/>
          <w:sz w:val="17"/>
          <w:szCs w:val="17"/>
        </w:rPr>
        <w:t xml:space="preserve">Fundamento: </w:t>
      </w:r>
      <w:r>
        <w:rPr>
          <w:rFonts w:ascii="Arial" w:cs="Arial" w:eastAsia="Arial" w:hAnsi="Arial"/>
          <w:i/>
          <w:iCs/>
          <w:color w:val="5A5A6E"/>
          <w:sz w:val="17"/>
          <w:szCs w:val="17"/>
        </w:rPr>
        <w:t xml:space="preserve">Artículo 423, fracción VIII</w:t>
      </w:r>
    </w:p>
    <w:p>
      <w:pPr>
        <w:spacing w:after="180"/>
        <w:jc w:val="both"/>
      </w:pPr>
      <w:r>
        <w:rPr>
          <w:rFonts w:ascii="Arial" w:cs="Arial" w:eastAsia="Arial" w:hAnsi="Arial"/>
          <w:b/>
          <w:bCs/>
          <w:color w:val="1A1A22"/>
          <w:sz w:val="21"/>
          <w:szCs w:val="21"/>
        </w:rPr>
        <w:t xml:space="preserve">Artículo 21. </w:t>
      </w:r>
      <w:r>
        <w:rPr>
          <w:rFonts w:ascii="Arial" w:cs="Arial" w:eastAsia="Arial" w:hAnsi="Arial"/>
          <w:color w:val="1A1A22"/>
          <w:sz w:val="21"/>
          <w:szCs w:val="21"/>
        </w:rPr>
        <w:t xml:space="preserve">Las personas trabajadoras se someterán a los exámenes médicos previos al ingreso y a los exámenes periódicos que se practicarán con una frecuencia [FRECUENCIA], en [LUGAR O INSTITUCIÓN], dentro de su jornada de trabajo y sin costo para ellas. Los resultados son confidenciales y se tratarán conforme a la normativa de protección de datos personales.</w:t>
      </w:r>
    </w:p>
    <w:p>
      <w:pPr>
        <w:spacing w:after="180"/>
        <w:jc w:val="both"/>
      </w:pPr>
      <w:r>
        <w:rPr>
          <w:rFonts w:ascii="Arial" w:cs="Arial" w:eastAsia="Arial" w:hAnsi="Arial"/>
          <w:b/>
          <w:bCs/>
          <w:color w:val="1A1A22"/>
          <w:sz w:val="21"/>
          <w:szCs w:val="21"/>
        </w:rPr>
        <w:t xml:space="preserve">Artículo 22. </w:t>
      </w:r>
      <w:r>
        <w:rPr>
          <w:rFonts w:ascii="Arial" w:cs="Arial" w:eastAsia="Arial" w:hAnsi="Arial"/>
          <w:color w:val="1A1A22"/>
          <w:sz w:val="21"/>
          <w:szCs w:val="21"/>
        </w:rPr>
        <w:t xml:space="preserve">Se aplicarán las medidas profilácticas que dicten las autoridades sanitarias y laborales competentes, en los términos y plazos que éstas señalen.</w:t>
      </w:r>
    </w:p>
    <w:p>
      <w:pPr>
        <w:keepNext/>
        <w:spacing w:after="70" w:before="260"/>
      </w:pPr>
      <w:r>
        <w:rPr>
          <w:rFonts w:ascii="Arial" w:cs="Arial" w:eastAsia="Arial" w:hAnsi="Arial"/>
          <w:b/>
          <w:bCs/>
          <w:color w:val="6D1DB0"/>
          <w:sz w:val="24"/>
          <w:szCs w:val="24"/>
        </w:rPr>
        <w:t xml:space="preserve">CAPÍTULO X. PERMISOS Y LICENCIAS</w:t>
      </w:r>
    </w:p>
    <w:p>
      <w:pPr>
        <w:keepNext/>
        <w:pBdr>
          <w:left w:val="single" w:color="D9C7F2" w:sz="12" w:space="8"/>
        </w:pBdr>
        <w:spacing w:after="200"/>
        <w:ind w:left="172"/>
      </w:pPr>
      <w:r>
        <w:rPr>
          <w:rFonts w:ascii="Arial" w:cs="Arial" w:eastAsia="Arial" w:hAnsi="Arial"/>
          <w:b/>
          <w:bCs/>
          <w:i/>
          <w:iCs/>
          <w:color w:val="5A5A6E"/>
          <w:sz w:val="17"/>
          <w:szCs w:val="17"/>
        </w:rPr>
        <w:t xml:space="preserve">Fundamento: </w:t>
      </w:r>
      <w:r>
        <w:rPr>
          <w:rFonts w:ascii="Arial" w:cs="Arial" w:eastAsia="Arial" w:hAnsi="Arial"/>
          <w:i/>
          <w:iCs/>
          <w:color w:val="5A5A6E"/>
          <w:sz w:val="17"/>
          <w:szCs w:val="17"/>
        </w:rPr>
        <w:t xml:space="preserve">Artículo 423, fracción IX</w:t>
      </w:r>
    </w:p>
    <w:p>
      <w:pPr>
        <w:spacing w:after="180"/>
        <w:jc w:val="both"/>
      </w:pPr>
      <w:r>
        <w:rPr>
          <w:rFonts w:ascii="Arial" w:cs="Arial" w:eastAsia="Arial" w:hAnsi="Arial"/>
          <w:b/>
          <w:bCs/>
          <w:color w:val="1A1A22"/>
          <w:sz w:val="21"/>
          <w:szCs w:val="21"/>
        </w:rPr>
        <w:t xml:space="preserve">Artículo 23. </w:t>
      </w:r>
      <w:r>
        <w:rPr>
          <w:rFonts w:ascii="Arial" w:cs="Arial" w:eastAsia="Arial" w:hAnsi="Arial"/>
          <w:color w:val="1A1A22"/>
          <w:sz w:val="21"/>
          <w:szCs w:val="21"/>
        </w:rPr>
        <w:t xml:space="preserve">Las solicitudes de permiso se presentarán ante [PUESTO RESPONSABLE] con una anticipación mínima de [NÚMERO] días hábiles, por escrito o a través de [MEDIO], indicando el motivo y la duración. La respuesta se comunicará dentro de los [NÚMERO] días hábiles siguientes.</w:t>
      </w:r>
    </w:p>
    <w:p>
      <w:pPr>
        <w:spacing w:after="180"/>
        <w:jc w:val="both"/>
      </w:pPr>
      <w:r>
        <w:rPr>
          <w:rFonts w:ascii="Arial" w:cs="Arial" w:eastAsia="Arial" w:hAnsi="Arial"/>
          <w:b/>
          <w:bCs/>
          <w:color w:val="1A1A22"/>
          <w:sz w:val="21"/>
          <w:szCs w:val="21"/>
        </w:rPr>
        <w:t xml:space="preserve">Artículo 24. </w:t>
      </w:r>
      <w:r>
        <w:rPr>
          <w:rFonts w:ascii="Arial" w:cs="Arial" w:eastAsia="Arial" w:hAnsi="Arial"/>
          <w:color w:val="1A1A22"/>
          <w:sz w:val="21"/>
          <w:szCs w:val="21"/>
        </w:rPr>
        <w:t xml:space="preserve">En caso de enfermedad, la persona trabajadora dará aviso dentro de las [NÚMERO] horas siguientes y presentará la incapacidad expedida por el Instituto Mexicano del Seguro Social dentro de los [NÚMERO] días hábiles posteriores a su expedición.</w:t>
      </w:r>
    </w:p>
    <w:p>
      <w:pPr>
        <w:spacing w:after="180"/>
        <w:jc w:val="both"/>
      </w:pPr>
      <w:r>
        <w:rPr>
          <w:rFonts w:ascii="Arial" w:cs="Arial" w:eastAsia="Arial" w:hAnsi="Arial"/>
          <w:b/>
          <w:bCs/>
          <w:color w:val="1A1A22"/>
          <w:sz w:val="21"/>
          <w:szCs w:val="21"/>
        </w:rPr>
        <w:t xml:space="preserve">Artículo 25. </w:t>
      </w:r>
      <w:r>
        <w:rPr>
          <w:rFonts w:ascii="Arial" w:cs="Arial" w:eastAsia="Arial" w:hAnsi="Arial"/>
          <w:color w:val="1A1A22"/>
          <w:sz w:val="21"/>
          <w:szCs w:val="21"/>
        </w:rPr>
        <w:t xml:space="preserve">Se otorgarán los permisos y licencias previstos en la Ley Federal del Trabajo, así como los siguientes permisos adicionales: [DESCRIBIR LOS PERMISOS PROPIOS DE LA EMPRESA].</w:t>
      </w:r>
    </w:p>
    <w:p>
      <w:pPr>
        <w:keepNext/>
        <w:spacing w:after="70" w:before="260"/>
      </w:pPr>
      <w:r>
        <w:rPr>
          <w:rFonts w:ascii="Arial" w:cs="Arial" w:eastAsia="Arial" w:hAnsi="Arial"/>
          <w:b/>
          <w:bCs/>
          <w:color w:val="6D1DB0"/>
          <w:sz w:val="24"/>
          <w:szCs w:val="24"/>
        </w:rPr>
        <w:t xml:space="preserve">CAPÍTULO XI. DISPOSICIONES DISCIPLINARIAS Y PROCEDIMIENTO PARA SU APLICACIÓN</w:t>
      </w:r>
    </w:p>
    <w:p>
      <w:pPr>
        <w:keepNext/>
        <w:pBdr>
          <w:left w:val="single" w:color="D9C7F2" w:sz="12" w:space="8"/>
        </w:pBdr>
        <w:spacing w:after="200"/>
        <w:ind w:left="172"/>
      </w:pPr>
      <w:r>
        <w:rPr>
          <w:rFonts w:ascii="Arial" w:cs="Arial" w:eastAsia="Arial" w:hAnsi="Arial"/>
          <w:b/>
          <w:bCs/>
          <w:i/>
          <w:iCs/>
          <w:color w:val="5A5A6E"/>
          <w:sz w:val="17"/>
          <w:szCs w:val="17"/>
        </w:rPr>
        <w:t xml:space="preserve">Fundamento: </w:t>
      </w:r>
      <w:r>
        <w:rPr>
          <w:rFonts w:ascii="Arial" w:cs="Arial" w:eastAsia="Arial" w:hAnsi="Arial"/>
          <w:i/>
          <w:iCs/>
          <w:color w:val="5A5A6E"/>
          <w:sz w:val="17"/>
          <w:szCs w:val="17"/>
        </w:rPr>
        <w:t xml:space="preserve">Artículo 423, fracción X, reformada por decreto publicado el 19 de diciembre de 2024</w:t>
      </w:r>
    </w:p>
    <w:p>
      <w:pPr>
        <w:spacing w:after="180"/>
        <w:jc w:val="both"/>
      </w:pPr>
      <w:r>
        <w:rPr>
          <w:rFonts w:ascii="Arial" w:cs="Arial" w:eastAsia="Arial" w:hAnsi="Arial"/>
          <w:b/>
          <w:bCs/>
          <w:color w:val="1A1A22"/>
          <w:sz w:val="21"/>
          <w:szCs w:val="21"/>
        </w:rPr>
        <w:t xml:space="preserve">Artículo 26. </w:t>
      </w:r>
      <w:r>
        <w:rPr>
          <w:rFonts w:ascii="Arial" w:cs="Arial" w:eastAsia="Arial" w:hAnsi="Arial"/>
          <w:color w:val="1A1A22"/>
          <w:sz w:val="21"/>
          <w:szCs w:val="21"/>
        </w:rPr>
        <w:t xml:space="preserve">El incumplimiento de las obligaciones previstas en este Reglamento dará lugar, según su gravedad y reincidencia, a las siguientes medidas disciplinarias: I. Amonestación verbal; II. Amonestación por escrito; III. Suspensión en el trabajo, sin goce de salario, que en ningún caso podrá exceder de ocho días.</w:t>
      </w:r>
    </w:p>
    <w:p>
      <w:pPr>
        <w:spacing w:after="180"/>
        <w:jc w:val="both"/>
      </w:pPr>
      <w:r>
        <w:rPr>
          <w:rFonts w:ascii="Arial" w:cs="Arial" w:eastAsia="Arial" w:hAnsi="Arial"/>
          <w:b/>
          <w:bCs/>
          <w:color w:val="1A1A22"/>
          <w:sz w:val="21"/>
          <w:szCs w:val="21"/>
        </w:rPr>
        <w:t xml:space="preserve">Artículo 27. </w:t>
      </w:r>
      <w:r>
        <w:rPr>
          <w:rFonts w:ascii="Arial" w:cs="Arial" w:eastAsia="Arial" w:hAnsi="Arial"/>
          <w:color w:val="1A1A22"/>
          <w:sz w:val="21"/>
          <w:szCs w:val="21"/>
        </w:rPr>
        <w:t xml:space="preserve">Antes de que se aplique cualquier medida disciplinaria, la persona trabajadora tendrá derecho a ser oída. Para tal efecto se le hará saber por escrito el hecho que se le atribuye y dispondrá de [NÚMERO] días hábiles para manifestar lo que a su derecho convenga y ofrecer pruebas. De la diligencia se levantará constancia firmada por quien intervenga.</w:t>
      </w:r>
    </w:p>
    <w:p>
      <w:pPr>
        <w:spacing w:after="180"/>
        <w:jc w:val="both"/>
      </w:pPr>
      <w:r>
        <w:rPr>
          <w:rFonts w:ascii="Arial" w:cs="Arial" w:eastAsia="Arial" w:hAnsi="Arial"/>
          <w:b/>
          <w:bCs/>
          <w:color w:val="1A1A22"/>
          <w:sz w:val="21"/>
          <w:szCs w:val="21"/>
        </w:rPr>
        <w:t xml:space="preserve">Artículo 28. </w:t>
      </w:r>
      <w:r>
        <w:rPr>
          <w:rFonts w:ascii="Arial" w:cs="Arial" w:eastAsia="Arial" w:hAnsi="Arial"/>
          <w:color w:val="1A1A22"/>
          <w:sz w:val="21"/>
          <w:szCs w:val="21"/>
        </w:rPr>
        <w:t xml:space="preserve">Este Reglamento no establece causas de rescisión de la relación de trabajo. Las causas de rescisión sin responsabilidad para la persona empleadora son únicamente las previstas en el artículo 47 de la Ley Federal del Trabajo, y su aplicación se rige por esa disposición.</w:t>
      </w:r>
    </w:p>
    <w:p>
      <w:pPr>
        <w:spacing w:after="180"/>
        <w:jc w:val="both"/>
      </w:pPr>
      <w:r>
        <w:rPr>
          <w:rFonts w:ascii="Arial" w:cs="Arial" w:eastAsia="Arial" w:hAnsi="Arial"/>
          <w:b/>
          <w:bCs/>
          <w:color w:val="1A1A22"/>
          <w:sz w:val="21"/>
          <w:szCs w:val="21"/>
        </w:rPr>
        <w:t xml:space="preserve">Artículo 29. </w:t>
      </w:r>
      <w:r>
        <w:rPr>
          <w:rFonts w:ascii="Arial" w:cs="Arial" w:eastAsia="Arial" w:hAnsi="Arial"/>
          <w:color w:val="1A1A22"/>
          <w:sz w:val="21"/>
          <w:szCs w:val="21"/>
        </w:rPr>
        <w:t xml:space="preserve">La aplicación de una medida disciplinaria prevista en este capítulo es independiente de la responsabilidad civil, administrativa o penal que, en su caso, corresponda.</w:t>
      </w:r>
    </w:p>
    <w:p>
      <w:pPr>
        <w:keepNext/>
        <w:spacing w:after="70" w:before="260"/>
      </w:pPr>
      <w:r>
        <w:rPr>
          <w:rFonts w:ascii="Arial" w:cs="Arial" w:eastAsia="Arial" w:hAnsi="Arial"/>
          <w:b/>
          <w:bCs/>
          <w:color w:val="6D1DB0"/>
          <w:sz w:val="24"/>
          <w:szCs w:val="24"/>
        </w:rPr>
        <w:t xml:space="preserve">CAPÍTULO XII. TELETRABAJO</w:t>
      </w:r>
    </w:p>
    <w:p>
      <w:pPr>
        <w:keepNext/>
        <w:pBdr>
          <w:left w:val="single" w:color="D9C7F2" w:sz="12" w:space="8"/>
        </w:pBdr>
        <w:spacing w:after="200"/>
        <w:ind w:left="172"/>
      </w:pPr>
      <w:r>
        <w:rPr>
          <w:rFonts w:ascii="Arial" w:cs="Arial" w:eastAsia="Arial" w:hAnsi="Arial"/>
          <w:b/>
          <w:bCs/>
          <w:i/>
          <w:iCs/>
          <w:color w:val="5A5A6E"/>
          <w:sz w:val="17"/>
          <w:szCs w:val="17"/>
        </w:rPr>
        <w:t xml:space="preserve">Fundamento: </w:t>
      </w:r>
      <w:r>
        <w:rPr>
          <w:rFonts w:ascii="Arial" w:cs="Arial" w:eastAsia="Arial" w:hAnsi="Arial"/>
          <w:i/>
          <w:iCs/>
          <w:color w:val="5A5A6E"/>
          <w:sz w:val="17"/>
          <w:szCs w:val="17"/>
        </w:rPr>
        <w:t xml:space="preserve">Artículo 330-D de la Ley Federal del Trabajo, adicionado el 11 de enero de 2021. Este capítulo es obligatorio para las empresas que no cuentan con contrato colectivo de trabajo.</w:t>
      </w:r>
    </w:p>
    <w:p>
      <w:pPr>
        <w:spacing w:after="180"/>
        <w:jc w:val="both"/>
      </w:pPr>
      <w:r>
        <w:rPr>
          <w:rFonts w:ascii="Arial" w:cs="Arial" w:eastAsia="Arial" w:hAnsi="Arial"/>
          <w:b/>
          <w:bCs/>
          <w:color w:val="1A1A22"/>
          <w:sz w:val="21"/>
          <w:szCs w:val="21"/>
        </w:rPr>
        <w:t xml:space="preserve">Artículo 30. </w:t>
      </w:r>
      <w:r>
        <w:rPr>
          <w:rFonts w:ascii="Arial" w:cs="Arial" w:eastAsia="Arial" w:hAnsi="Arial"/>
          <w:color w:val="1A1A22"/>
          <w:sz w:val="21"/>
          <w:szCs w:val="21"/>
        </w:rPr>
        <w:t xml:space="preserve">Se entiende por teletrabajo la modalidad en la que la persona trabajadora desempeña más del cuarenta por ciento del tiempo en su domicilio o en un lugar distinto a los establecimientos de la persona empleadora, utilizando tecnologías de la información y comunicación. Los puestos susceptibles de esta modalidad son [LISTA DE PUESTOS].</w:t>
      </w:r>
    </w:p>
    <w:p>
      <w:pPr>
        <w:spacing w:after="180"/>
        <w:jc w:val="both"/>
      </w:pPr>
      <w:r>
        <w:rPr>
          <w:rFonts w:ascii="Arial" w:cs="Arial" w:eastAsia="Arial" w:hAnsi="Arial"/>
          <w:b/>
          <w:bCs/>
          <w:color w:val="1A1A22"/>
          <w:sz w:val="21"/>
          <w:szCs w:val="21"/>
        </w:rPr>
        <w:t xml:space="preserve">Artículo 31. </w:t>
      </w:r>
      <w:r>
        <w:rPr>
          <w:rFonts w:ascii="Arial" w:cs="Arial" w:eastAsia="Arial" w:hAnsi="Arial"/>
          <w:color w:val="1A1A22"/>
          <w:sz w:val="21"/>
          <w:szCs w:val="21"/>
        </w:rPr>
        <w:t xml:space="preserve">La persona empleadora proporcionará, instalará y dará mantenimiento al equipo necesario, asumirá los costos de los servicios de telecomunicación y la parte proporcional de la electricidad, y llevará el registro de los insumos entregados. Se respetará el derecho a la desconexión al término de la jornada.</w:t>
      </w:r>
    </w:p>
    <w:p>
      <w:pPr>
        <w:spacing w:after="180"/>
        <w:jc w:val="both"/>
      </w:pPr>
      <w:r>
        <w:rPr>
          <w:rFonts w:ascii="Arial" w:cs="Arial" w:eastAsia="Arial" w:hAnsi="Arial"/>
          <w:b/>
          <w:bCs/>
          <w:color w:val="1A1A22"/>
          <w:sz w:val="21"/>
          <w:szCs w:val="21"/>
        </w:rPr>
        <w:t xml:space="preserve">Artículo 32. </w:t>
      </w:r>
      <w:r>
        <w:rPr>
          <w:rFonts w:ascii="Arial" w:cs="Arial" w:eastAsia="Arial" w:hAnsi="Arial"/>
          <w:color w:val="1A1A22"/>
          <w:sz w:val="21"/>
          <w:szCs w:val="21"/>
        </w:rPr>
        <w:t xml:space="preserve">Los mecanismos para mantener vinculadas y en contacto a las personas en teletrabajo son: [DESCRIBIR: reuniones de equipo con periodicidad, canal de comunicación, visitas presenciales periódicas].</w:t>
      </w:r>
    </w:p>
    <w:p>
      <w:pPr>
        <w:keepNext/>
        <w:spacing w:after="70" w:before="260"/>
      </w:pPr>
      <w:r>
        <w:rPr>
          <w:rFonts w:ascii="Arial" w:cs="Arial" w:eastAsia="Arial" w:hAnsi="Arial"/>
          <w:b/>
          <w:bCs/>
          <w:color w:val="6D1DB0"/>
          <w:sz w:val="24"/>
          <w:szCs w:val="24"/>
        </w:rPr>
        <w:t xml:space="preserve">CAPÍTULO XIII. OTRAS NORMAS NECESARIAS Y CONVENIENTES</w:t>
      </w:r>
    </w:p>
    <w:p>
      <w:pPr>
        <w:keepNext/>
        <w:pBdr>
          <w:left w:val="single" w:color="D9C7F2" w:sz="12" w:space="8"/>
        </w:pBdr>
        <w:spacing w:after="200"/>
        <w:ind w:left="172"/>
      </w:pPr>
      <w:r>
        <w:rPr>
          <w:rFonts w:ascii="Arial" w:cs="Arial" w:eastAsia="Arial" w:hAnsi="Arial"/>
          <w:b/>
          <w:bCs/>
          <w:i/>
          <w:iCs/>
          <w:color w:val="5A5A6E"/>
          <w:sz w:val="17"/>
          <w:szCs w:val="17"/>
        </w:rPr>
        <w:t xml:space="preserve">Fundamento: </w:t>
      </w:r>
      <w:r>
        <w:rPr>
          <w:rFonts w:ascii="Arial" w:cs="Arial" w:eastAsia="Arial" w:hAnsi="Arial"/>
          <w:i/>
          <w:iCs/>
          <w:color w:val="5A5A6E"/>
          <w:sz w:val="17"/>
          <w:szCs w:val="17"/>
        </w:rPr>
        <w:t xml:space="preserve">Artículo 423, fracción XI</w:t>
      </w:r>
    </w:p>
    <w:p>
      <w:pPr>
        <w:spacing w:after="180"/>
        <w:jc w:val="both"/>
      </w:pPr>
      <w:r>
        <w:rPr>
          <w:rFonts w:ascii="Arial" w:cs="Arial" w:eastAsia="Arial" w:hAnsi="Arial"/>
          <w:b/>
          <w:bCs/>
          <w:color w:val="1A1A22"/>
          <w:sz w:val="21"/>
          <w:szCs w:val="21"/>
        </w:rPr>
        <w:t xml:space="preserve">Artículo 33. </w:t>
      </w:r>
      <w:r>
        <w:rPr>
          <w:rFonts w:ascii="Arial" w:cs="Arial" w:eastAsia="Arial" w:hAnsi="Arial"/>
          <w:color w:val="1A1A22"/>
          <w:sz w:val="21"/>
          <w:szCs w:val="21"/>
        </w:rPr>
        <w:t xml:space="preserve">El uso de los equipos de cómputo, los sistemas de información y las cuentas de correo institucionales se sujeta a [DESCRIBIR]. La información de la empresa y los datos personales a los que se tenga acceso con motivo del trabajo son confidenciales.</w:t>
      </w:r>
    </w:p>
    <w:p>
      <w:pPr>
        <w:spacing w:after="180"/>
        <w:jc w:val="both"/>
      </w:pPr>
      <w:r>
        <w:rPr>
          <w:rFonts w:ascii="Arial" w:cs="Arial" w:eastAsia="Arial" w:hAnsi="Arial"/>
          <w:b/>
          <w:bCs/>
          <w:color w:val="1A1A22"/>
          <w:sz w:val="21"/>
          <w:szCs w:val="21"/>
        </w:rPr>
        <w:t xml:space="preserve">Artículo 34. </w:t>
      </w:r>
      <w:r>
        <w:rPr>
          <w:rFonts w:ascii="Arial" w:cs="Arial" w:eastAsia="Arial" w:hAnsi="Arial"/>
          <w:color w:val="1A1A22"/>
          <w:sz w:val="21"/>
          <w:szCs w:val="21"/>
        </w:rPr>
        <w:t xml:space="preserve">La política de prevención de riesgos psicosociales a que se refiere la NOM-035-STPS-2018 y el protocolo para prevenir la discriminación por razones de género y atender casos de violencia y de hostigamiento o acoso sexual previsto en el artículo 132, fracción XXXI, de la Ley Federal del Trabajo, constan en documentos por separado, se encuentran disponibles en [UBICACIÓN] y forman parte de las obligaciones de la persona empleadora, con independencia de este Reglamento.</w:t>
      </w:r>
    </w:p>
    <w:p>
      <w:pPr>
        <w:keepNext/>
        <w:spacing w:after="70" w:before="260"/>
      </w:pPr>
      <w:r>
        <w:rPr>
          <w:rFonts w:ascii="Arial" w:cs="Arial" w:eastAsia="Arial" w:hAnsi="Arial"/>
          <w:b/>
          <w:bCs/>
          <w:color w:val="6D1DB0"/>
          <w:sz w:val="24"/>
          <w:szCs w:val="24"/>
        </w:rPr>
        <w:t xml:space="preserve">TRANSITORIOS</w:t>
      </w:r>
    </w:p>
    <w:p>
      <w:pPr>
        <w:spacing w:after="180"/>
        <w:jc w:val="both"/>
      </w:pPr>
      <w:r>
        <w:rPr>
          <w:rFonts w:ascii="Arial" w:cs="Arial" w:eastAsia="Arial" w:hAnsi="Arial"/>
          <w:b/>
          <w:bCs/>
          <w:color w:val="1A1A22"/>
          <w:sz w:val="21"/>
          <w:szCs w:val="21"/>
        </w:rPr>
        <w:t xml:space="preserve">PRIMERO. </w:t>
      </w:r>
      <w:r>
        <w:rPr>
          <w:rFonts w:ascii="Arial" w:cs="Arial" w:eastAsia="Arial" w:hAnsi="Arial"/>
          <w:color w:val="1A1A22"/>
          <w:sz w:val="21"/>
          <w:szCs w:val="21"/>
        </w:rPr>
        <w:t xml:space="preserve">Este Reglamento surtirá efectos a partir de la fecha de su depósito ante el Centro Federal de Conciliación y Registro Laboral, conforme al artículo 425 de la Ley Federal del Trabajo.</w:t>
      </w:r>
    </w:p>
    <w:p>
      <w:pPr>
        <w:spacing w:after="180"/>
        <w:jc w:val="both"/>
      </w:pPr>
      <w:r>
        <w:rPr>
          <w:rFonts w:ascii="Arial" w:cs="Arial" w:eastAsia="Arial" w:hAnsi="Arial"/>
          <w:b/>
          <w:bCs/>
          <w:color w:val="1A1A22"/>
          <w:sz w:val="21"/>
          <w:szCs w:val="21"/>
        </w:rPr>
        <w:t xml:space="preserve">SEGUNDO. </w:t>
      </w:r>
      <w:r>
        <w:rPr>
          <w:rFonts w:ascii="Arial" w:cs="Arial" w:eastAsia="Arial" w:hAnsi="Arial"/>
          <w:color w:val="1A1A22"/>
          <w:sz w:val="21"/>
          <w:szCs w:val="21"/>
        </w:rPr>
        <w:t xml:space="preserve">El Reglamento se imprimirá y repartirá entre las personas trabajadoras y se fijará en los lugares más visibles del establecimiento, en cumplimiento del artículo 425 de la Ley Federal del Trabajo.</w:t>
      </w:r>
    </w:p>
    <w:p>
      <w:pPr>
        <w:spacing w:after="180"/>
        <w:jc w:val="both"/>
      </w:pPr>
      <w:r>
        <w:rPr>
          <w:rFonts w:ascii="Arial" w:cs="Arial" w:eastAsia="Arial" w:hAnsi="Arial"/>
          <w:b/>
          <w:bCs/>
          <w:color w:val="1A1A22"/>
          <w:sz w:val="21"/>
          <w:szCs w:val="21"/>
        </w:rPr>
        <w:t xml:space="preserve">TERCERO. </w:t>
      </w:r>
      <w:r>
        <w:rPr>
          <w:rFonts w:ascii="Arial" w:cs="Arial" w:eastAsia="Arial" w:hAnsi="Arial"/>
          <w:color w:val="1A1A22"/>
          <w:sz w:val="21"/>
          <w:szCs w:val="21"/>
        </w:rPr>
        <w:t xml:space="preserve">No producirán efecto legal alguno las disposiciones de este Reglamento que resulten contrarias a la Ley Federal del Trabajo, a sus reglamentos y, en su caso, al contrato colectivo de trabajo o al contrato ley aplicables, conforme al artículo 424, fracción III, de la Ley Federal del Trabajo.</w:t>
      </w:r>
    </w:p>
    <w:p>
      <w:pPr>
        <w:keepNext/>
        <w:spacing w:after="70" w:before="260"/>
      </w:pPr>
      <w:r>
        <w:rPr>
          <w:rFonts w:ascii="Arial" w:cs="Arial" w:eastAsia="Arial" w:hAnsi="Arial"/>
          <w:b/>
          <w:bCs/>
          <w:color w:val="6D1DB0"/>
          <w:sz w:val="24"/>
          <w:szCs w:val="24"/>
        </w:rPr>
        <w:t xml:space="preserve">FIRMAS</w:t>
      </w:r>
    </w:p>
    <w:p>
      <w:pPr>
        <w:spacing w:after="160"/>
        <w:jc w:val="both"/>
      </w:pPr>
      <w:r>
        <w:rPr>
          <w:rFonts w:ascii="Arial" w:cs="Arial" w:eastAsia="Arial" w:hAnsi="Arial"/>
          <w:color w:val="1A1A22"/>
          <w:sz w:val="21"/>
          <w:szCs w:val="21"/>
        </w:rPr>
        <w:t xml:space="preserve">Leído el presente Reglamento por quienes en él intervienen, lo firman de conformidad los integrantes de la comisión mixta, en [CIUDAD], a [FECHA].</w:t>
      </w:r>
    </w:p>
    <w:p>
      <w:pPr>
        <w:spacing w:after="60" w:before="120"/>
      </w:pPr>
      <w:r>
        <w:rPr>
          <w:rFonts w:ascii="Arial" w:cs="Arial" w:eastAsia="Arial" w:hAnsi="Arial"/>
          <w:b/>
          <w:bCs/>
          <w:color w:val="6D1DB0"/>
          <w:sz w:val="20"/>
          <w:szCs w:val="20"/>
        </w:rPr>
        <w:t xml:space="preserve">Por las personas trabajadoras</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440"/>
        <w:gridCol w:w="480"/>
        <w:gridCol w:w="4440"/>
      </w:tblGrid>
      <w:tr>
        <w:tc>
          <w:tcPr>
            <w:tcW w:type="dxa" w:w="4440"/>
          </w:tcPr>
          <w:p>
            <w:pPr>
              <w:pBdr>
                <w:bottom w:val="single" w:color="9A9AAA" w:sz="6" w:space="2"/>
              </w:pBdr>
              <w:spacing w:before="400"/>
            </w:pPr>
            <w:r>
              <w:rPr>
                <w:rFonts w:ascii="Arial" w:cs="Arial" w:eastAsia="Arial" w:hAnsi="Arial"/>
              </w:rPr>
              <w:t xml:space="preserve"/>
            </w:r>
          </w:p>
          <w:p>
            <w:pPr>
              <w:jc w:val="center"/>
            </w:pPr>
            <w:r>
              <w:rPr>
                <w:rFonts w:ascii="Arial" w:cs="Arial" w:eastAsia="Arial" w:hAnsi="Arial"/>
                <w:color w:val="5A5A6E"/>
                <w:sz w:val="18"/>
                <w:szCs w:val="18"/>
              </w:rPr>
              <w:t xml:space="preserve">[NOMBRE Y FIRMA]</w:t>
            </w:r>
          </w:p>
          <w:p>
            <w:pPr>
              <w:jc w:val="center"/>
            </w:pPr>
            <w:r>
              <w:rPr>
                <w:rFonts w:ascii="Arial" w:cs="Arial" w:eastAsia="Arial" w:hAnsi="Arial"/>
                <w:i/>
                <w:iCs/>
                <w:color w:val="5A5A6E"/>
                <w:sz w:val="18"/>
                <w:szCs w:val="18"/>
              </w:rPr>
              <w:t xml:space="preserve">Representante de las personas trabajadoras</w:t>
            </w:r>
          </w:p>
        </w:tc>
        <w:tc>
          <w:tcPr>
            <w:tcW w:type="dxa" w:w="480"/>
          </w:tcPr>
          <w:p>
            <w:r>
              <w:rPr>
                <w:rFonts w:ascii="Arial" w:cs="Arial" w:eastAsia="Arial" w:hAnsi="Arial"/>
              </w:rPr>
              <w:t xml:space="preserve"/>
            </w:r>
          </w:p>
        </w:tc>
        <w:tc>
          <w:tcPr>
            <w:tcW w:type="dxa" w:w="4440"/>
          </w:tcPr>
          <w:p>
            <w:pPr>
              <w:pBdr>
                <w:bottom w:val="single" w:color="9A9AAA" w:sz="6" w:space="2"/>
              </w:pBdr>
              <w:spacing w:before="400"/>
            </w:pPr>
            <w:r>
              <w:rPr>
                <w:rFonts w:ascii="Arial" w:cs="Arial" w:eastAsia="Arial" w:hAnsi="Arial"/>
              </w:rPr>
              <w:t xml:space="preserve"/>
            </w:r>
          </w:p>
          <w:p>
            <w:pPr>
              <w:jc w:val="center"/>
            </w:pPr>
            <w:r>
              <w:rPr>
                <w:rFonts w:ascii="Arial" w:cs="Arial" w:eastAsia="Arial" w:hAnsi="Arial"/>
                <w:color w:val="5A5A6E"/>
                <w:sz w:val="18"/>
                <w:szCs w:val="18"/>
              </w:rPr>
              <w:t xml:space="preserve">[NOMBRE Y FIRMA]</w:t>
            </w:r>
          </w:p>
          <w:p>
            <w:pPr>
              <w:jc w:val="center"/>
            </w:pPr>
            <w:r>
              <w:rPr>
                <w:rFonts w:ascii="Arial" w:cs="Arial" w:eastAsia="Arial" w:hAnsi="Arial"/>
                <w:i/>
                <w:iCs/>
                <w:color w:val="5A5A6E"/>
                <w:sz w:val="18"/>
                <w:szCs w:val="18"/>
              </w:rPr>
              <w:t xml:space="preserve">Representante de las personas trabajadoras</w:t>
            </w:r>
          </w:p>
        </w:tc>
      </w:tr>
    </w:tbl>
    <w:p>
      <w:pPr>
        <w:spacing w:after="60" w:before="300"/>
      </w:pPr>
      <w:r>
        <w:rPr>
          <w:rFonts w:ascii="Arial" w:cs="Arial" w:eastAsia="Arial" w:hAnsi="Arial"/>
          <w:b/>
          <w:bCs/>
          <w:color w:val="6D1DB0"/>
          <w:sz w:val="20"/>
          <w:szCs w:val="20"/>
        </w:rPr>
        <w:t xml:space="preserve">Por la persona empleadora</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440"/>
        <w:gridCol w:w="480"/>
        <w:gridCol w:w="4440"/>
      </w:tblGrid>
      <w:tr>
        <w:tc>
          <w:tcPr>
            <w:tcW w:type="dxa" w:w="4440"/>
          </w:tcPr>
          <w:p>
            <w:pPr>
              <w:pBdr>
                <w:bottom w:val="single" w:color="9A9AAA" w:sz="6" w:space="2"/>
              </w:pBdr>
              <w:spacing w:before="400"/>
            </w:pPr>
            <w:r>
              <w:rPr>
                <w:rFonts w:ascii="Arial" w:cs="Arial" w:eastAsia="Arial" w:hAnsi="Arial"/>
              </w:rPr>
              <w:t xml:space="preserve"/>
            </w:r>
          </w:p>
          <w:p>
            <w:pPr>
              <w:jc w:val="center"/>
            </w:pPr>
            <w:r>
              <w:rPr>
                <w:rFonts w:ascii="Arial" w:cs="Arial" w:eastAsia="Arial" w:hAnsi="Arial"/>
                <w:color w:val="5A5A6E"/>
                <w:sz w:val="18"/>
                <w:szCs w:val="18"/>
              </w:rPr>
              <w:t xml:space="preserve">[NOMBRE Y FIRMA]</w:t>
            </w:r>
          </w:p>
          <w:p>
            <w:pPr>
              <w:jc w:val="center"/>
            </w:pPr>
            <w:r>
              <w:rPr>
                <w:rFonts w:ascii="Arial" w:cs="Arial" w:eastAsia="Arial" w:hAnsi="Arial"/>
                <w:i/>
                <w:iCs/>
                <w:color w:val="5A5A6E"/>
                <w:sz w:val="18"/>
                <w:szCs w:val="18"/>
              </w:rPr>
              <w:t xml:space="preserve">Representante de la persona empleadora</w:t>
            </w:r>
          </w:p>
        </w:tc>
        <w:tc>
          <w:tcPr>
            <w:tcW w:type="dxa" w:w="480"/>
          </w:tcPr>
          <w:p>
            <w:r>
              <w:rPr>
                <w:rFonts w:ascii="Arial" w:cs="Arial" w:eastAsia="Arial" w:hAnsi="Arial"/>
              </w:rPr>
              <w:t xml:space="preserve"/>
            </w:r>
          </w:p>
        </w:tc>
        <w:tc>
          <w:tcPr>
            <w:tcW w:type="dxa" w:w="4440"/>
          </w:tcPr>
          <w:p>
            <w:pPr>
              <w:pBdr>
                <w:bottom w:val="single" w:color="9A9AAA" w:sz="6" w:space="2"/>
              </w:pBdr>
              <w:spacing w:before="400"/>
            </w:pPr>
            <w:r>
              <w:rPr>
                <w:rFonts w:ascii="Arial" w:cs="Arial" w:eastAsia="Arial" w:hAnsi="Arial"/>
              </w:rPr>
              <w:t xml:space="preserve"/>
            </w:r>
          </w:p>
          <w:p>
            <w:pPr>
              <w:jc w:val="center"/>
            </w:pPr>
            <w:r>
              <w:rPr>
                <w:rFonts w:ascii="Arial" w:cs="Arial" w:eastAsia="Arial" w:hAnsi="Arial"/>
                <w:color w:val="5A5A6E"/>
                <w:sz w:val="18"/>
                <w:szCs w:val="18"/>
              </w:rPr>
              <w:t xml:space="preserve">[NOMBRE Y FIRMA]</w:t>
            </w:r>
          </w:p>
          <w:p>
            <w:pPr>
              <w:jc w:val="center"/>
            </w:pPr>
            <w:r>
              <w:rPr>
                <w:rFonts w:ascii="Arial" w:cs="Arial" w:eastAsia="Arial" w:hAnsi="Arial"/>
                <w:i/>
                <w:iCs/>
                <w:color w:val="5A5A6E"/>
                <w:sz w:val="18"/>
                <w:szCs w:val="18"/>
              </w:rPr>
              <w:t xml:space="preserve">Representante de la persona empleadora</w:t>
            </w:r>
          </w:p>
        </w:tc>
      </w:tr>
    </w:tbl>
    <w:sectPr>
      <w:footerReference w:type="default" r:id="rId7"/>
      <w:pgSz w:w="12240" w:h="15840" w:orient="portrait"/>
      <w:pgMar w:top="1440" w:right="1440" w:bottom="1296"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rFonts w:ascii="Arial" w:cs="Arial" w:eastAsia="Arial" w:hAnsi="Arial"/>
        <w:color w:val="5A5A6E"/>
        <w:sz w:val="16"/>
        <w:szCs w:val="16"/>
      </w:rPr>
      <w:t xml:space="preserve">sabionet.com</w:t>
    </w:r>
    <w:r>
      <w:rPr>
        <w:rFonts w:ascii="Arial" w:cs="Arial" w:eastAsia="Arial" w:hAnsi="Arial"/>
        <w:sz w:val="16"/>
        <w:szCs w:val="16"/>
      </w:rPr>
      <w:tab/>
    </w:r>
    <w:r>
      <w:rPr>
        <w:rFonts w:ascii="Arial" w:cs="Arial" w:eastAsia="Arial" w:hAnsi="Arial"/>
        <w:color w:val="5A5A6E"/>
        <w:sz w:val="16"/>
        <w:szCs w:val="16"/>
      </w:rPr>
      <w:t xml:space="preserve">Página </w:t>
    </w:r>
    <w:r>
      <w:rPr>
        <w:rFonts w:ascii="Arial" w:cs="Arial" w:eastAsia="Arial" w:hAnsi="Arial"/>
        <w:color w:val="5A5A6E"/>
        <w:sz w:val="16"/>
        <w:szCs w:val="16"/>
      </w:rPr>
      <w:fldChar w:fldCharType="begin"/>
      <w:instrText xml:space="preserve">PAGE</w:instrText>
      <w:fldChar w:fldCharType="separate"/>
      <w:fldChar w:fldCharType="end"/>
    </w:r>
    <w:r>
      <w:rPr>
        <w:rFonts w:ascii="Arial" w:cs="Arial" w:eastAsia="Arial" w:hAnsi="Arial"/>
        <w:color w:val="5A5A6E"/>
        <w:sz w:val="16"/>
        <w:szCs w:val="16"/>
      </w:rPr>
      <w:t xml:space="preserve"> de </w:t>
    </w:r>
    <w:r>
      <w:rPr>
        <w:rFonts w:ascii="Arial" w:cs="Arial" w:eastAsia="Arial" w:hAnsi="Arial"/>
        <w:color w:val="5A5A6E"/>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59"/>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22"/>
        <w:sz w:val="21"/>
        <w:szCs w:val="21"/>
      </w:rPr>
    </w:rPrDefault>
    <w:pPrDefault>
      <w:pPr>
        <w:spacing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a190b8cfb3d1e56b1fe11127737e15cc89efe7ae.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Reglamento interior de trabajo — plantilla editable</dc:title>
  <dc:creator>Sabionet</dc:creator>
  <dc:description>Plantilla editable de reglamento interior de trabajo conforme a los artículos 422 a 425 de la Ley Federal del Trabajo.</dc:description>
  <cp:lastModifiedBy>Un-named</cp:lastModifiedBy>
  <cp:revision>1</cp:revision>
  <dcterms:created xsi:type="dcterms:W3CDTF">2026-10-10T17:50:05.980Z</dcterms:created>
  <dcterms:modified xsi:type="dcterms:W3CDTF">2026-10-10T17:50:05.980Z</dcterms:modified>
</cp:coreProperties>
</file>

<file path=docProps/custom.xml><?xml version="1.0" encoding="utf-8"?>
<Properties xmlns="http://schemas.openxmlformats.org/officeDocument/2006/custom-properties" xmlns:vt="http://schemas.openxmlformats.org/officeDocument/2006/docPropsVTypes"/>
</file>