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 w:before="2000"/>
      </w:pPr>
      <w:r>
        <w:rPr>
          <w:b/>
          <w:bCs/>
          <w:color w:val="16335B"/>
          <w:sz w:val="28"/>
          <w:szCs w:val="28"/>
        </w:rPr>
        <w:t xml:space="preserve">[YOUR COMPANY NAME]</w:t>
      </w:r>
    </w:p>
    <w:p>
      <w:pPr>
        <w:spacing w:after="600"/>
      </w:pPr>
      <w:r>
        <w:rPr>
          <w:i/>
          <w:iCs/>
          <w:color w:val="5B6472"/>
          <w:sz w:val="20"/>
          <w:szCs w:val="20"/>
        </w:rPr>
        <w:t xml:space="preserve">[YOUR LOGO HERE]</w:t>
      </w:r>
    </w:p>
    <w:p>
      <w:pPr>
        <w:pStyle w:val="Title"/>
        <w:spacing w:after="200"/>
      </w:pPr>
      <w:r>
        <w:rPr>
          <w:color w:val="16335B"/>
        </w:rPr>
        <w:t xml:space="preserve">Loyalty Platform RFP</w:t>
      </w:r>
    </w:p>
    <w:p>
      <w:pPr>
        <w:spacing w:after="600"/>
      </w:pPr>
      <w:r>
        <w:rPr>
          <w:color w:val="5B6472"/>
          <w:sz w:val="24"/>
          <w:szCs w:val="24"/>
        </w:rPr>
        <w:t xml:space="preserve">Request for Proposal — Vendor Capability Response Document</w:t>
      </w:r>
    </w:p>
    <w:p>
      <w:pPr>
        <w:spacing w:after="100"/>
      </w:pPr>
      <w:r>
        <w:rPr>
          <w:b/>
          <w:bCs/>
          <w:sz w:val="22"/>
          <w:szCs w:val="22"/>
        </w:rPr>
        <w:t xml:space="preserve">RFP Issue Date: </w:t>
      </w:r>
      <w:r>
        <w:rPr>
          <w:sz w:val="22"/>
          <w:szCs w:val="22"/>
        </w:rPr>
        <w:t xml:space="preserve">[DATE]</w:t>
      </w:r>
    </w:p>
    <w:p>
      <w:pPr>
        <w:spacing w:after="100"/>
      </w:pPr>
      <w:r>
        <w:rPr>
          <w:b/>
          <w:bCs/>
          <w:sz w:val="22"/>
          <w:szCs w:val="22"/>
        </w:rPr>
        <w:t xml:space="preserve">Response Due Date: </w:t>
      </w:r>
      <w:r>
        <w:rPr>
          <w:sz w:val="22"/>
          <w:szCs w:val="22"/>
        </w:rPr>
        <w:t xml:space="preserve">[DATE]</w:t>
      </w:r>
    </w:p>
    <w:p>
      <w:pPr>
        <w:spacing w:after="100"/>
      </w:pPr>
      <w:r>
        <w:rPr>
          <w:b/>
          <w:bCs/>
          <w:sz w:val="22"/>
          <w:szCs w:val="22"/>
        </w:rPr>
        <w:t xml:space="preserve">Primary Contact: </w:t>
      </w:r>
      <w:r>
        <w:rPr>
          <w:sz w:val="22"/>
          <w:szCs w:val="22"/>
        </w:rPr>
        <w:t xml:space="preserve">[NAME, TITLE, EMAIL]</w:t>
      </w:r>
    </w:p>
    <w:p>
      <w:pPr>
        <w:spacing w:after="100"/>
      </w:pPr>
      <w:r>
        <w:rPr>
          <w:b/>
          <w:bCs/>
          <w:sz w:val="22"/>
          <w:szCs w:val="22"/>
        </w:rPr>
        <w:t xml:space="preserve">Submission Method: </w:t>
      </w:r>
      <w:r>
        <w:rPr>
          <w:sz w:val="22"/>
          <w:szCs w:val="22"/>
        </w:rPr>
        <w:t xml:space="preserve">[EMAIL / PORTAL / OTHER]</w:t>
      </w:r>
    </w:p>
    <w:p>
      <w:r>
        <w:br w:type="page"/>
      </w:r>
    </w:p>
    <w:p>
      <w:pPr>
        <w:pStyle w:val="Heading1"/>
      </w:pPr>
      <w:r>
        <w:t xml:space="preserve">Instructions to Vendors</w:t>
      </w:r>
    </w:p>
    <w:p>
      <w:pPr>
        <w:spacing w:after="200"/>
      </w:pPr>
      <w:r>
        <w:t xml:space="preserve">This RFP uses a structured response format. For each capability statement below, provide exactly one of the following response codes. Open-ended or narrative-only responses will not be scored.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0"/>
        <w:gridCol w:w="2600"/>
        <w:gridCol w:w="5860"/>
      </w:tblGrid>
      <w:tr>
        <w:trPr>
          <w:tblHeader/>
        </w:trPr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6335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 xml:space="preserve">Code</w:t>
            </w:r>
          </w:p>
        </w:tc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6335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color w:val="FFFFFF"/>
                <w:sz w:val="20"/>
                <w:szCs w:val="20"/>
              </w:rPr>
              <w:t xml:space="preserve">Status</w:t>
            </w:r>
          </w:p>
        </w:tc>
        <w:tc>
          <w:tcPr>
            <w:tcW w:type="dxa" w:w="58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6335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color w:val="FFFFFF"/>
                <w:sz w:val="20"/>
                <w:szCs w:val="20"/>
              </w:rPr>
              <w:t xml:space="preserve">Definition</w:t>
            </w:r>
          </w:p>
        </w:tc>
      </w:tr>
      <w:tr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 xml:space="preserve">FS</w:t>
            </w:r>
          </w:p>
        </w:tc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20"/>
                <w:szCs w:val="20"/>
              </w:rPr>
              <w:t xml:space="preserve">Fully Supported</w:t>
            </w:r>
          </w:p>
        </w:tc>
        <w:tc>
          <w:tcPr>
            <w:tcW w:type="dxa" w:w="58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20"/>
                <w:szCs w:val="20"/>
              </w:rPr>
              <w:t xml:space="preserve">Live in production today. Available with no additional development.</w:t>
            </w:r>
          </w:p>
        </w:tc>
      </w:tr>
      <w:tr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 xml:space="preserve">PS</w:t>
            </w:r>
          </w:p>
        </w:tc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20"/>
                <w:szCs w:val="20"/>
              </w:rPr>
              <w:t xml:space="preserve">Partially Supported</w:t>
            </w:r>
          </w:p>
        </w:tc>
        <w:tc>
          <w:tcPr>
            <w:tcW w:type="dxa" w:w="58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20"/>
                <w:szCs w:val="20"/>
              </w:rPr>
              <w:t xml:space="preserve">Core capability exists; gaps or limitations apply. Explain in Notes.</w:t>
            </w:r>
          </w:p>
        </w:tc>
      </w:tr>
      <w:tr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 xml:space="preserve">CR</w:t>
            </w:r>
          </w:p>
        </w:tc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20"/>
                <w:szCs w:val="20"/>
              </w:rPr>
              <w:t xml:space="preserve">Configuration / Custom Required</w:t>
            </w:r>
          </w:p>
        </w:tc>
        <w:tc>
          <w:tcPr>
            <w:tcW w:type="dxa" w:w="58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20"/>
                <w:szCs w:val="20"/>
              </w:rPr>
              <w:t xml:space="preserve">Requires configuration or custom development to deliver. State effort and cost in Notes.</w:t>
            </w:r>
          </w:p>
        </w:tc>
      </w:tr>
      <w:tr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 xml:space="preserve">RD</w:t>
            </w:r>
          </w:p>
        </w:tc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20"/>
                <w:szCs w:val="20"/>
              </w:rPr>
              <w:t xml:space="preserve">On Roadmap</w:t>
            </w:r>
          </w:p>
        </w:tc>
        <w:tc>
          <w:tcPr>
            <w:tcW w:type="dxa" w:w="58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20"/>
                <w:szCs w:val="20"/>
              </w:rPr>
              <w:t xml:space="preserve">Not available today. Planned for future release. State committed date in Notes.</w:t>
            </w:r>
          </w:p>
        </w:tc>
      </w:tr>
      <w:tr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 xml:space="preserve">NS</w:t>
            </w:r>
          </w:p>
        </w:tc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20"/>
                <w:szCs w:val="20"/>
              </w:rPr>
              <w:t xml:space="preserve">Not Supported</w:t>
            </w:r>
          </w:p>
        </w:tc>
        <w:tc>
          <w:tcPr>
            <w:tcW w:type="dxa" w:w="58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20"/>
                <w:szCs w:val="20"/>
              </w:rPr>
              <w:t xml:space="preserve">No current or planned support.</w:t>
            </w:r>
          </w:p>
        </w:tc>
      </w:tr>
    </w:tbl>
    <w:p>
      <w:pPr>
        <w:spacing w:after="100" w:before="300"/>
      </w:pPr>
      <w:r>
        <w:t xml:space="preserve">Each statement also carries a weight indicating its importance to this evaluation:</w:t>
      </w:r>
    </w:p>
    <w:p>
      <w:pPr>
        <w:pStyle w:val="ListParagraph"/>
        <w:numPr>
          <w:ilvl w:val="0"/>
          <w:numId w:val="2"/>
        </w:numPr>
      </w:pPr>
      <w:r>
        <w:rPr>
          <w:b/>
          <w:bCs/>
        </w:rPr>
        <w:t xml:space="preserve">3 — Critical: </w:t>
      </w:r>
      <w:r>
        <w:t xml:space="preserve">Must-have. A Not Supported or Custom Required response requires a credible, dated remediation plan in Notes.</w:t>
      </w:r>
    </w:p>
    <w:p>
      <w:pPr>
        <w:pStyle w:val="ListParagraph"/>
        <w:numPr>
          <w:ilvl w:val="0"/>
          <w:numId w:val="2"/>
        </w:numPr>
      </w:pPr>
      <w:r>
        <w:rPr>
          <w:b/>
          <w:bCs/>
        </w:rPr>
        <w:t xml:space="preserve">2 — Important: </w:t>
      </w:r>
      <w:r>
        <w:t xml:space="preserve">Significant differentiator. Partial support is acceptable only with a dated remediation plan.</w:t>
      </w:r>
    </w:p>
    <w:p>
      <w:pPr>
        <w:pStyle w:val="ListParagraph"/>
        <w:numPr>
          <w:ilvl w:val="0"/>
          <w:numId w:val="2"/>
        </w:numPr>
      </w:pPr>
      <w:r>
        <w:rPr>
          <w:b/>
          <w:bCs/>
        </w:rPr>
        <w:t xml:space="preserve">1 — Useful: </w:t>
      </w:r>
      <w:r>
        <w:t xml:space="preserve">Nice-to-have. Roadmap items are acceptable with a committed date.</w:t>
      </w:r>
    </w:p>
    <w:p>
      <w:pPr>
        <w:spacing w:after="200" w:before="200"/>
      </w:pPr>
      <w:r>
        <w:rPr>
          <w:i/>
          <w:iCs/>
        </w:rPr>
        <w:t xml:space="preserve">Written responses, with supporting evidence, are required before any demo will be scheduled. Please return this document in its original format with all fields completed.</w:t>
      </w:r>
    </w:p>
    <w:p>
      <w:r>
        <w:br w:type="page"/>
      </w:r>
    </w:p>
    <w:p>
      <w:pPr>
        <w:pStyle w:val="Heading1"/>
      </w:pPr>
      <w:r>
        <w:t xml:space="preserve">Section 1: Technical Architecture &amp; POS Integration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00"/>
        <w:gridCol w:w="4700"/>
        <w:gridCol w:w="700"/>
        <w:gridCol w:w="1400"/>
        <w:gridCol w:w="2160"/>
      </w:tblGrid>
      <w:tr>
        <w:trPr>
          <w:tblHeader/>
        </w:trP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6335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#</w:t>
            </w:r>
          </w:p>
        </w:tc>
        <w:tc>
          <w:tcPr>
            <w:tcW w:type="dxa" w:w="4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6335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Capability Statement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6335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Wt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6335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Response Code</w:t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6335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Notes / Evidence</w:t>
            </w:r>
          </w:p>
        </w:tc>
      </w:tr>
      <w:tr>
        <w:tc>
          <w:tcPr>
            <w:gridSpan w:val="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DEFF3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b/>
                <w:bCs/>
                <w:color w:val="16335B"/>
                <w:sz w:val="18"/>
                <w:szCs w:val="18"/>
              </w:rPr>
              <w:t xml:space="preserve">1A — POS Integration Depth</w:t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1</w:t>
            </w:r>
          </w:p>
        </w:tc>
        <w:tc>
          <w:tcPr>
            <w:tcW w:type="dxa" w:w="4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Platform has a native, certified (not planned) integration with every POS system in our current environment.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2</w:t>
            </w:r>
          </w:p>
        </w:tc>
        <w:tc>
          <w:tcPr>
            <w:tcW w:type="dxa" w:w="4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A new POS integration can be added within 90 days of request without custom development billed to the client.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3</w:t>
            </w:r>
          </w:p>
        </w:tc>
        <w:tc>
          <w:tcPr>
            <w:tcW w:type="dxa" w:w="4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Platform handles offline POS transactions — queuing, store-and-forward, and post-reconnect reconciliation — without loyalty data loss.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4</w:t>
            </w:r>
          </w:p>
        </w:tc>
        <w:tc>
          <w:tcPr>
            <w:tcW w:type="dxa" w:w="4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Platform receives SKU-level transaction data (not basket totals only) from the POS per transaction.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5</w:t>
            </w:r>
          </w:p>
        </w:tc>
        <w:tc>
          <w:tcPr>
            <w:tcW w:type="dxa" w:w="4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Platform receives tender type, location ID, cashier ID, and daypart per transaction.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6</w:t>
            </w:r>
          </w:p>
        </w:tc>
        <w:tc>
          <w:tcPr>
            <w:tcW w:type="dxa" w:w="4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No middleware vendor or connector fee is required between our POS and the platform.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7</w:t>
            </w:r>
          </w:p>
        </w:tc>
        <w:tc>
          <w:tcPr>
            <w:tcW w:type="dxa" w:w="4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Vendor can provide two live references running the platform across 3+ different POS systems simultaneously.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gridSpan w:val="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DEFF3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b/>
                <w:bCs/>
                <w:color w:val="16335B"/>
                <w:sz w:val="18"/>
                <w:szCs w:val="18"/>
              </w:rPr>
              <w:t xml:space="preserve">1B — API &amp; Architecture</w:t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8</w:t>
            </w:r>
          </w:p>
        </w:tc>
        <w:tc>
          <w:tcPr>
            <w:tcW w:type="dxa" w:w="4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Platform is API-first — all loyalty logic is accessible and executable via REST API without requiring the vendor UI.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9</w:t>
            </w:r>
          </w:p>
        </w:tc>
        <w:tc>
          <w:tcPr>
            <w:tcW w:type="dxa" w:w="4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Platform publishes committed P95 and P99 API response time SLAs under peak transaction load.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10</w:t>
            </w:r>
          </w:p>
        </w:tc>
        <w:tc>
          <w:tcPr>
            <w:tcW w:type="dxa" w:w="4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Platform supports webhooks and event-driven architecture for real-time data flow to external systems.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11</w:t>
            </w:r>
          </w:p>
        </w:tc>
        <w:tc>
          <w:tcPr>
            <w:tcW w:type="dxa" w:w="4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Platform supports autoscaling to handle peak transaction bursts without degraded response time.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12</w:t>
            </w:r>
          </w:p>
        </w:tc>
        <w:tc>
          <w:tcPr>
            <w:tcW w:type="dxa" w:w="4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Platform has pre-built, certified integrations with major ecommerce platforms (Shopify, Salesforce Commerce, Magento, etc.).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</w:tbl>
    <w:p>
      <w:r>
        <w:br w:type="page"/>
      </w:r>
    </w:p>
    <w:p>
      <w:pPr>
        <w:pStyle w:val="Heading1"/>
      </w:pPr>
      <w:r>
        <w:t xml:space="preserve">Section 2: Platform Reliability &amp; Infrastructure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00"/>
        <w:gridCol w:w="4700"/>
        <w:gridCol w:w="700"/>
        <w:gridCol w:w="1400"/>
        <w:gridCol w:w="2160"/>
      </w:tblGrid>
      <w:tr>
        <w:trPr>
          <w:tblHeader/>
        </w:trP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6335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#</w:t>
            </w:r>
          </w:p>
        </w:tc>
        <w:tc>
          <w:tcPr>
            <w:tcW w:type="dxa" w:w="4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6335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Capability Statement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6335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Wt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6335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Response Code</w:t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6335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Notes / Evidence</w:t>
            </w:r>
          </w:p>
        </w:tc>
      </w:tr>
      <w:tr>
        <w:tc>
          <w:tcPr>
            <w:gridSpan w:val="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DEFF3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b/>
                <w:bCs/>
                <w:color w:val="16335B"/>
                <w:sz w:val="18"/>
                <w:szCs w:val="18"/>
              </w:rPr>
              <w:t xml:space="preserve">2A — Uptime &amp; SLA</w:t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13</w:t>
            </w:r>
          </w:p>
        </w:tc>
        <w:tc>
          <w:tcPr>
            <w:tcW w:type="dxa" w:w="4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Platform contractually commits to 99.9% or greater uptime SLA.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14</w:t>
            </w:r>
          </w:p>
        </w:tc>
        <w:tc>
          <w:tcPr>
            <w:tcW w:type="dxa" w:w="4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Actual platform uptime over the past 12 months meets or exceeds the stated SLA.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15</w:t>
            </w:r>
          </w:p>
        </w:tc>
        <w:tc>
          <w:tcPr>
            <w:tcW w:type="dxa" w:w="4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SLA breach triggers automatic financial credits — not client-escalation-required credits.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16</w:t>
            </w:r>
          </w:p>
        </w:tc>
        <w:tc>
          <w:tcPr>
            <w:tcW w:type="dxa" w:w="4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Platform provides a real-time status page accessible to the client at all times.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gridSpan w:val="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DEFF3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b/>
                <w:bCs/>
                <w:color w:val="16335B"/>
                <w:sz w:val="18"/>
                <w:szCs w:val="18"/>
              </w:rPr>
              <w:t xml:space="preserve">2B — Disaster Recovery &amp; Infrastructure</w:t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17</w:t>
            </w:r>
          </w:p>
        </w:tc>
        <w:tc>
          <w:tcPr>
            <w:tcW w:type="dxa" w:w="4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Platform has documented RTO and RPO targets meeting enterprise-grade requirements.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18</w:t>
            </w:r>
          </w:p>
        </w:tc>
        <w:tc>
          <w:tcPr>
            <w:tcW w:type="dxa" w:w="4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Platform performs automated daily backups with geographically redundant storage.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19</w:t>
            </w:r>
          </w:p>
        </w:tc>
        <w:tc>
          <w:tcPr>
            <w:tcW w:type="dxa" w:w="4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DR testing is conducted at least annually with documented results available to clients.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20</w:t>
            </w:r>
          </w:p>
        </w:tc>
        <w:tc>
          <w:tcPr>
            <w:tcW w:type="dxa" w:w="4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Platform is hosted on an enterprise-grade cloud provider (AWS, GCP, Azure) with multi-region support.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</w:tbl>
    <w:p>
      <w:r>
        <w:br w:type="page"/>
      </w:r>
    </w:p>
    <w:p>
      <w:pPr>
        <w:pStyle w:val="Heading1"/>
      </w:pPr>
      <w:r>
        <w:t xml:space="preserve">Section 3: Customer Data, CDP &amp; First-Party Ownership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00"/>
        <w:gridCol w:w="4700"/>
        <w:gridCol w:w="700"/>
        <w:gridCol w:w="1400"/>
        <w:gridCol w:w="2160"/>
      </w:tblGrid>
      <w:tr>
        <w:trPr>
          <w:tblHeader/>
        </w:trP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6335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#</w:t>
            </w:r>
          </w:p>
        </w:tc>
        <w:tc>
          <w:tcPr>
            <w:tcW w:type="dxa" w:w="4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6335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Capability Statement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6335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Wt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6335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Response Code</w:t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6335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Notes / Evidence</w:t>
            </w:r>
          </w:p>
        </w:tc>
      </w:tr>
      <w:tr>
        <w:tc>
          <w:tcPr>
            <w:gridSpan w:val="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DEFF3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b/>
                <w:bCs/>
                <w:color w:val="16335B"/>
                <w:sz w:val="18"/>
                <w:szCs w:val="18"/>
              </w:rPr>
              <w:t xml:space="preserve">3A — Data Ownership &amp; Portability</w:t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21</w:t>
            </w:r>
          </w:p>
        </w:tc>
        <w:tc>
          <w:tcPr>
            <w:tcW w:type="dxa" w:w="4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The client legally owns all customer data collected through the platform — including raw records, behavioral data, and derived attributes.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22</w:t>
            </w:r>
          </w:p>
        </w:tc>
        <w:tc>
          <w:tcPr>
            <w:tcW w:type="dxa" w:w="4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On contract termination, client receives a full data export in a standard machine-readable format (CSV, JSON) within 30 days at no additional fee.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23</w:t>
            </w:r>
          </w:p>
        </w:tc>
        <w:tc>
          <w:tcPr>
            <w:tcW w:type="dxa" w:w="4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Client can export a full data snapshot at any time during the contract — not only at termination.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24</w:t>
            </w:r>
          </w:p>
        </w:tc>
        <w:tc>
          <w:tcPr>
            <w:tcW w:type="dxa" w:w="4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Platform data is never used to train shared models that benefit other clients without explicit client opt-in.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gridSpan w:val="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DEFF3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b/>
                <w:bCs/>
                <w:color w:val="16335B"/>
                <w:sz w:val="18"/>
                <w:szCs w:val="18"/>
              </w:rPr>
              <w:t xml:space="preserve">3B — Identity Resolution &amp; Profile Management</w:t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25</w:t>
            </w:r>
          </w:p>
        </w:tc>
        <w:tc>
          <w:tcPr>
            <w:tcW w:type="dxa" w:w="4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Platform performs automated identity resolution — merging duplicate customer records across locations, channels, and purchase methods into a single profile.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26</w:t>
            </w:r>
          </w:p>
        </w:tc>
        <w:tc>
          <w:tcPr>
            <w:tcW w:type="dxa" w:w="4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Anonymous transaction history can be retroactively attached to a customer profile upon enrollment.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27</w:t>
            </w:r>
          </w:p>
        </w:tc>
        <w:tc>
          <w:tcPr>
            <w:tcW w:type="dxa" w:w="4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Customer profiles support household-level linkage for multi-shopper accounts.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28</w:t>
            </w:r>
          </w:p>
        </w:tc>
        <w:tc>
          <w:tcPr>
            <w:tcW w:type="dxa" w:w="4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Customer profiles can incorporate non-transactional data — survey responses, email engagement, app activity, web behavior.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29</w:t>
            </w:r>
          </w:p>
        </w:tc>
        <w:tc>
          <w:tcPr>
            <w:tcW w:type="dxa" w:w="4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Platform supports cross-banner profile visibility for multi-format operators while maintaining banner-level data separation.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gridSpan w:val="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DEFF3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b/>
                <w:bCs/>
                <w:color w:val="16335B"/>
                <w:sz w:val="18"/>
                <w:szCs w:val="18"/>
              </w:rPr>
              <w:t xml:space="preserve">3C — Privacy &amp; Compliance</w:t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30</w:t>
            </w:r>
          </w:p>
        </w:tc>
        <w:tc>
          <w:tcPr>
            <w:tcW w:type="dxa" w:w="4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Platform is SOC 2 Type II certified with a report dated within the past 12 months.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31</w:t>
            </w:r>
          </w:p>
        </w:tc>
        <w:tc>
          <w:tcPr>
            <w:tcW w:type="dxa" w:w="4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Platform is PCI DSS compliant for relevant cardholder data flows.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32</w:t>
            </w:r>
          </w:p>
        </w:tc>
        <w:tc>
          <w:tcPr>
            <w:tcW w:type="dxa" w:w="4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Platform has documented CCPA and applicable state privacy law compliance — including DSAR workflow.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33</w:t>
            </w:r>
          </w:p>
        </w:tc>
        <w:tc>
          <w:tcPr>
            <w:tcW w:type="dxa" w:w="4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Platform supports GDPR compliance for any EU-resident member data.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</w:tbl>
    <w:p>
      <w:r>
        <w:br w:type="page"/>
      </w:r>
    </w:p>
    <w:p>
      <w:pPr>
        <w:pStyle w:val="Heading1"/>
      </w:pPr>
      <w:r>
        <w:t xml:space="preserve">Section 4: Loyalty Program Management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00"/>
        <w:gridCol w:w="4700"/>
        <w:gridCol w:w="700"/>
        <w:gridCol w:w="1400"/>
        <w:gridCol w:w="2160"/>
      </w:tblGrid>
      <w:tr>
        <w:trPr>
          <w:tblHeader/>
        </w:trP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6335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#</w:t>
            </w:r>
          </w:p>
        </w:tc>
        <w:tc>
          <w:tcPr>
            <w:tcW w:type="dxa" w:w="4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6335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Capability Statement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6335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Wt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6335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Response Code</w:t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6335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Notes / Evidence</w:t>
            </w:r>
          </w:p>
        </w:tc>
      </w:tr>
      <w:tr>
        <w:tc>
          <w:tcPr>
            <w:gridSpan w:val="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DEFF3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b/>
                <w:bCs/>
                <w:color w:val="16335B"/>
                <w:sz w:val="18"/>
                <w:szCs w:val="18"/>
              </w:rPr>
              <w:t xml:space="preserve">4A — Program Mechanics</w:t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34</w:t>
            </w:r>
          </w:p>
        </w:tc>
        <w:tc>
          <w:tcPr>
            <w:tcW w:type="dxa" w:w="4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Platform supports points-based, visit-based, spend-based, and tiered earn structures — configurable without custom development.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35</w:t>
            </w:r>
          </w:p>
        </w:tc>
        <w:tc>
          <w:tcPr>
            <w:tcW w:type="dxa" w:w="4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Business users can modify earn rules, redemption thresholds, and tier definitions without IT involvement.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36</w:t>
            </w:r>
          </w:p>
        </w:tc>
        <w:tc>
          <w:tcPr>
            <w:tcW w:type="dxa" w:w="4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Platform supports complex conditional earn logic — category-specific, daypart-specific, location-specific, and member-tier-specific rules simultaneously.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37</w:t>
            </w:r>
          </w:p>
        </w:tc>
        <w:tc>
          <w:tcPr>
            <w:tcW w:type="dxa" w:w="4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Platform resolves offer stacking conflicts automatically and provides configurable rules for which offer takes precedence.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38</w:t>
            </w:r>
          </w:p>
        </w:tc>
        <w:tc>
          <w:tcPr>
            <w:tcW w:type="dxa" w:w="4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Platform supports manufacturer / CPG-funded offer management — including ingest, redemption tracking, and reporting for third-party funded incentives.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39</w:t>
            </w:r>
          </w:p>
        </w:tc>
        <w:tc>
          <w:tcPr>
            <w:tcW w:type="dxa" w:w="4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Platform supports non-transactional earning events — birthday, referral, survey completion, app download, check-in, profile completion.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1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40</w:t>
            </w:r>
          </w:p>
        </w:tc>
        <w:tc>
          <w:tcPr>
            <w:tcW w:type="dxa" w:w="4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Platform supports multi-banner or multi-concept operations — separate program rules and member pools per banner with roll-up corporate reporting.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gridSpan w:val="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DEFF3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b/>
                <w:bCs/>
                <w:color w:val="16335B"/>
                <w:sz w:val="18"/>
                <w:szCs w:val="18"/>
              </w:rPr>
              <w:t xml:space="preserve">4B — Redemption &amp; Rewards</w:t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41</w:t>
            </w:r>
          </w:p>
        </w:tc>
        <w:tc>
          <w:tcPr>
            <w:tcW w:type="dxa" w:w="4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Members can earn and redeem points across all locations, including locations on different POS systems, from day one.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42</w:t>
            </w:r>
          </w:p>
        </w:tc>
        <w:tc>
          <w:tcPr>
            <w:tcW w:type="dxa" w:w="4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Platform supports experiential rewards, charitable donation options, and non-discount reward types.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1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43</w:t>
            </w:r>
          </w:p>
        </w:tc>
        <w:tc>
          <w:tcPr>
            <w:tcW w:type="dxa" w:w="4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Platform supports gamification mechanics — challenges, streaks, bonus events, and tiered status progression.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1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</w:tbl>
    <w:p>
      <w:r>
        <w:br w:type="page"/>
      </w:r>
    </w:p>
    <w:p>
      <w:pPr>
        <w:pStyle w:val="Heading1"/>
      </w:pPr>
      <w:r>
        <w:t xml:space="preserve">Section 5: Stored Value &amp; Gift Card Management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00"/>
        <w:gridCol w:w="4700"/>
        <w:gridCol w:w="700"/>
        <w:gridCol w:w="1400"/>
        <w:gridCol w:w="2160"/>
      </w:tblGrid>
      <w:tr>
        <w:trPr>
          <w:tblHeader/>
        </w:trP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6335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#</w:t>
            </w:r>
          </w:p>
        </w:tc>
        <w:tc>
          <w:tcPr>
            <w:tcW w:type="dxa" w:w="4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6335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Capability Statement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6335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Wt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6335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Response Code</w:t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6335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Notes / Evidence</w:t>
            </w:r>
          </w:p>
        </w:tc>
      </w:tr>
      <w:tr>
        <w:tc>
          <w:tcPr>
            <w:gridSpan w:val="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DEFF3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b/>
                <w:bCs/>
                <w:color w:val="16335B"/>
                <w:sz w:val="18"/>
                <w:szCs w:val="18"/>
              </w:rPr>
              <w:t xml:space="preserve">5A — Core Stored Value</w:t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44</w:t>
            </w:r>
          </w:p>
        </w:tc>
        <w:tc>
          <w:tcPr>
            <w:tcW w:type="dxa" w:w="4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Gift card and stored value management is native to the platform — not a third-party integration.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45</w:t>
            </w:r>
          </w:p>
        </w:tc>
        <w:tc>
          <w:tcPr>
            <w:tcW w:type="dxa" w:w="4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Platform tracks outstanding stored value liability in real time and produces a finance-ready liability report.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46</w:t>
            </w:r>
          </w:p>
        </w:tc>
        <w:tc>
          <w:tcPr>
            <w:tcW w:type="dxa" w:w="4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Customers can redeem stored value across all channels — in-store, online, and mobile — from a single unified balance.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47</w:t>
            </w:r>
          </w:p>
        </w:tc>
        <w:tc>
          <w:tcPr>
            <w:tcW w:type="dxa" w:w="4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Platform supports digital gift card issuance via email and SMS.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48</w:t>
            </w:r>
          </w:p>
        </w:tc>
        <w:tc>
          <w:tcPr>
            <w:tcW w:type="dxa" w:w="4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Gift cards can be used programmatically as a loyalty reward, win-back offer, or promotional incentive.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gridSpan w:val="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DEFF3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b/>
                <w:bCs/>
                <w:color w:val="16335B"/>
                <w:sz w:val="18"/>
                <w:szCs w:val="18"/>
              </w:rPr>
              <w:t xml:space="preserve">5B — Fraud, Compliance &amp; Finance</w:t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49</w:t>
            </w:r>
          </w:p>
        </w:tc>
        <w:tc>
          <w:tcPr>
            <w:tcW w:type="dxa" w:w="4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Platform includes proactive gift card fraud detection — monitoring enrollment patterns, redemption anomalies, and balance manipulation.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50</w:t>
            </w:r>
          </w:p>
        </w:tc>
        <w:tc>
          <w:tcPr>
            <w:tcW w:type="dxa" w:w="4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Platform handles breakage accounting and produces state-by-state escheatment compliance reports.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51</w:t>
            </w:r>
          </w:p>
        </w:tc>
        <w:tc>
          <w:tcPr>
            <w:tcW w:type="dxa" w:w="4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Anonymous gift card purchasers can be identified and converted to loyalty members over time — with their transaction history preserved.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</w:tbl>
    <w:p>
      <w:r>
        <w:br w:type="page"/>
      </w:r>
    </w:p>
    <w:p>
      <w:pPr>
        <w:pStyle w:val="Heading1"/>
      </w:pPr>
      <w:r>
        <w:t xml:space="preserve">Section 6: Offer Management, AI &amp; Decisioning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00"/>
        <w:gridCol w:w="4700"/>
        <w:gridCol w:w="700"/>
        <w:gridCol w:w="1400"/>
        <w:gridCol w:w="2160"/>
      </w:tblGrid>
      <w:tr>
        <w:trPr>
          <w:tblHeader/>
        </w:trP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6335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#</w:t>
            </w:r>
          </w:p>
        </w:tc>
        <w:tc>
          <w:tcPr>
            <w:tcW w:type="dxa" w:w="4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6335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Capability Statement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6335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Wt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6335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Response Code</w:t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6335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Notes / Evidence</w:t>
            </w:r>
          </w:p>
        </w:tc>
      </w:tr>
      <w:tr>
        <w:tc>
          <w:tcPr>
            <w:gridSpan w:val="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DEFF3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b/>
                <w:bCs/>
                <w:color w:val="16335B"/>
                <w:sz w:val="18"/>
                <w:szCs w:val="18"/>
              </w:rPr>
              <w:t xml:space="preserve">6A — Offer Management</w:t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52</w:t>
            </w:r>
          </w:p>
        </w:tc>
        <w:tc>
          <w:tcPr>
            <w:tcW w:type="dxa" w:w="4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Platform supports targeted offer creation — including SKU-specific, category-specific, visit-frequency-based, and spend-threshold-based offers.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53</w:t>
            </w:r>
          </w:p>
        </w:tc>
        <w:tc>
          <w:tcPr>
            <w:tcW w:type="dxa" w:w="4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Offers can be targeted to individually defined member segments without batch processing lag — real-time eligibility evaluation at transaction.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54</w:t>
            </w:r>
          </w:p>
        </w:tc>
        <w:tc>
          <w:tcPr>
            <w:tcW w:type="dxa" w:w="4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Platform supports time-bound offers — expiring by date, by member inactivity window, or by redemption count.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gridSpan w:val="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DEFF3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b/>
                <w:bCs/>
                <w:color w:val="16335B"/>
                <w:sz w:val="18"/>
                <w:szCs w:val="18"/>
              </w:rPr>
              <w:t xml:space="preserve">6B — AI &amp; Machine Learning (Production Only)</w:t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55</w:t>
            </w:r>
          </w:p>
        </w:tc>
        <w:tc>
          <w:tcPr>
            <w:tcW w:type="dxa" w:w="4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Platform includes a production next-best-offer engine that selects the highest-probability-to-convert offer per individual member at transaction time.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56</w:t>
            </w:r>
          </w:p>
        </w:tc>
        <w:tc>
          <w:tcPr>
            <w:tcW w:type="dxa" w:w="4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Platform includes production send-time optimization — delivering communications at the individually optimal time per member based on historical engagement.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57</w:t>
            </w:r>
          </w:p>
        </w:tc>
        <w:tc>
          <w:tcPr>
            <w:tcW w:type="dxa" w:w="4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Platform includes production churn prediction — flagging at-risk members before churn occurs with configurable intervention triggers.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58</w:t>
            </w:r>
          </w:p>
        </w:tc>
        <w:tc>
          <w:tcPr>
            <w:tcW w:type="dxa" w:w="4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Platform supports individual-level offer decisioning — delivering a different offer to two members in the same segment based on their individual behavior.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59</w:t>
            </w:r>
          </w:p>
        </w:tc>
        <w:tc>
          <w:tcPr>
            <w:tcW w:type="dxa" w:w="4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AI models are trained exclusively on the client's own data — not on shared data across the vendor's customer base.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</w:tbl>
    <w:p>
      <w:r>
        <w:br w:type="page"/>
      </w:r>
    </w:p>
    <w:p>
      <w:pPr>
        <w:pStyle w:val="Heading1"/>
      </w:pPr>
      <w:r>
        <w:t xml:space="preserve">Section 7: Marketing Automation &amp; Channel Delivery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00"/>
        <w:gridCol w:w="4700"/>
        <w:gridCol w:w="700"/>
        <w:gridCol w:w="1400"/>
        <w:gridCol w:w="2160"/>
      </w:tblGrid>
      <w:tr>
        <w:trPr>
          <w:tblHeader/>
        </w:trP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6335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#</w:t>
            </w:r>
          </w:p>
        </w:tc>
        <w:tc>
          <w:tcPr>
            <w:tcW w:type="dxa" w:w="4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6335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Capability Statement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6335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Wt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6335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Response Code</w:t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6335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Notes / Evidence</w:t>
            </w:r>
          </w:p>
        </w:tc>
      </w:tr>
      <w:tr>
        <w:tc>
          <w:tcPr>
            <w:gridSpan w:val="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DEFF3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b/>
                <w:bCs/>
                <w:color w:val="16335B"/>
                <w:sz w:val="18"/>
                <w:szCs w:val="18"/>
              </w:rPr>
              <w:t xml:space="preserve">7A — Campaign &amp; Automation Capabilities</w:t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60</w:t>
            </w:r>
          </w:p>
        </w:tc>
        <w:tc>
          <w:tcPr>
            <w:tcW w:type="dxa" w:w="4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Platform supports multi-step triggered campaigns — enrollment series, post-purchase flows, lapse triggers, win-back sequences — configurable by business users.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61</w:t>
            </w:r>
          </w:p>
        </w:tc>
        <w:tc>
          <w:tcPr>
            <w:tcW w:type="dxa" w:w="4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Platform supports A/B testing and holdout groups natively — without exporting to an external tool.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62</w:t>
            </w:r>
          </w:p>
        </w:tc>
        <w:tc>
          <w:tcPr>
            <w:tcW w:type="dxa" w:w="4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Platform supports cross-channel orchestration — coordinating email, SMS, push notification, and direct mail in a single campaign workflow.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63</w:t>
            </w:r>
          </w:p>
        </w:tc>
        <w:tc>
          <w:tcPr>
            <w:tcW w:type="dxa" w:w="4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Franchise or location-level users can access brand-approved templates and send location-specific campaigns to their member cohort only.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gridSpan w:val="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DEFF3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b/>
                <w:bCs/>
                <w:color w:val="16335B"/>
                <w:sz w:val="18"/>
                <w:szCs w:val="18"/>
              </w:rPr>
              <w:t xml:space="preserve">7B — Channel Delivery</w:t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64</w:t>
            </w:r>
          </w:p>
        </w:tc>
        <w:tc>
          <w:tcPr>
            <w:tcW w:type="dxa" w:w="4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Platform has a native ESP — no third-party email vendor required for standard campaign delivery.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65</w:t>
            </w:r>
          </w:p>
        </w:tc>
        <w:tc>
          <w:tcPr>
            <w:tcW w:type="dxa" w:w="4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Platform supports SMS/MMS delivery natively or via a tightly integrated carrier — with delivery receipts and opt-out management.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66</w:t>
            </w:r>
          </w:p>
        </w:tc>
        <w:tc>
          <w:tcPr>
            <w:tcW w:type="dxa" w:w="4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Platform supports mobile push notification delivery — including integration with a client's existing branded app via SDK.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1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67</w:t>
            </w:r>
          </w:p>
        </w:tc>
        <w:tc>
          <w:tcPr>
            <w:tcW w:type="dxa" w:w="4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Platform supports Apple Wallet and Google Wallet passes for loyalty ID, balance display, and personalized offers.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1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68</w:t>
            </w:r>
          </w:p>
        </w:tc>
        <w:tc>
          <w:tcPr>
            <w:tcW w:type="dxa" w:w="4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Member-facing communication design is fully controlled by the client — not locked in vendor-managed templates.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</w:tbl>
    <w:p>
      <w:r>
        <w:br w:type="page"/>
      </w:r>
    </w:p>
    <w:p>
      <w:pPr>
        <w:pStyle w:val="Heading1"/>
      </w:pPr>
      <w:r>
        <w:t xml:space="preserve">Section 8: Enrollment &amp; Member Experience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00"/>
        <w:gridCol w:w="4700"/>
        <w:gridCol w:w="700"/>
        <w:gridCol w:w="1400"/>
        <w:gridCol w:w="2160"/>
      </w:tblGrid>
      <w:tr>
        <w:trPr>
          <w:tblHeader/>
        </w:trP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6335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#</w:t>
            </w:r>
          </w:p>
        </w:tc>
        <w:tc>
          <w:tcPr>
            <w:tcW w:type="dxa" w:w="4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6335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Capability Statement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6335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Wt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6335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Response Code</w:t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6335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Notes / Evidence</w:t>
            </w:r>
          </w:p>
        </w:tc>
      </w:tr>
      <w:tr>
        <w:tc>
          <w:tcPr>
            <w:gridSpan w:val="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DEFF3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b/>
                <w:bCs/>
                <w:color w:val="16335B"/>
                <w:sz w:val="18"/>
                <w:szCs w:val="18"/>
              </w:rPr>
              <w:t xml:space="preserve">8A — Enrollment</w:t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69</w:t>
            </w:r>
          </w:p>
        </w:tc>
        <w:tc>
          <w:tcPr>
            <w:tcW w:type="dxa" w:w="4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Customer can complete full loyalty enrollment at a POS terminal in under 60 seconds without a smartphone.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70</w:t>
            </w:r>
          </w:p>
        </w:tc>
        <w:tc>
          <w:tcPr>
            <w:tcW w:type="dxa" w:w="4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Platform supports enrollment via SMS keyword, web URL, QR code, and app — in addition to POS.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71</w:t>
            </w:r>
          </w:p>
        </w:tc>
        <w:tc>
          <w:tcPr>
            <w:tcW w:type="dxa" w:w="4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Vendor can provide enrollment rate benchmarks broken down by channel across current client base.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72</w:t>
            </w:r>
          </w:p>
        </w:tc>
        <w:tc>
          <w:tcPr>
            <w:tcW w:type="dxa" w:w="4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Existing gift card holders can be converted to loyalty members with their stored value balance preserved.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73</w:t>
            </w:r>
          </w:p>
        </w:tc>
        <w:tc>
          <w:tcPr>
            <w:tcW w:type="dxa" w:w="4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Platform can match and merge a new enrollee's anonymous transaction history to their new loyalty profile at enrollment.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gridSpan w:val="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DEFF3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b/>
                <w:bCs/>
                <w:color w:val="16335B"/>
                <w:sz w:val="18"/>
                <w:szCs w:val="18"/>
              </w:rPr>
              <w:t xml:space="preserve">8B — Member Experience</w:t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74</w:t>
            </w:r>
          </w:p>
        </w:tc>
        <w:tc>
          <w:tcPr>
            <w:tcW w:type="dxa" w:w="4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Members can access point balance, tier status, offer library, and transaction history via a self-service web portal — no app required.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75</w:t>
            </w:r>
          </w:p>
        </w:tc>
        <w:tc>
          <w:tcPr>
            <w:tcW w:type="dxa" w:w="4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Platform supports member preference capture — communication channel, frequency, category interests — and uses those preferences in campaign targeting.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76</w:t>
            </w:r>
          </w:p>
        </w:tc>
        <w:tc>
          <w:tcPr>
            <w:tcW w:type="dxa" w:w="4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Member communications are personalized with individual-level merge variables — not just name and account number.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</w:tbl>
    <w:p>
      <w:r>
        <w:br w:type="page"/>
      </w:r>
    </w:p>
    <w:p>
      <w:pPr>
        <w:pStyle w:val="Heading1"/>
      </w:pPr>
      <w:r>
        <w:t xml:space="preserve">Section 9: Finance-Ready Reporting &amp; ROI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00"/>
        <w:gridCol w:w="4700"/>
        <w:gridCol w:w="700"/>
        <w:gridCol w:w="1400"/>
        <w:gridCol w:w="2160"/>
      </w:tblGrid>
      <w:tr>
        <w:trPr>
          <w:tblHeader/>
        </w:trP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6335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#</w:t>
            </w:r>
          </w:p>
        </w:tc>
        <w:tc>
          <w:tcPr>
            <w:tcW w:type="dxa" w:w="4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6335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Capability Statement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6335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Wt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6335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Response Code</w:t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6335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Notes / Evidence</w:t>
            </w:r>
          </w:p>
        </w:tc>
      </w:tr>
      <w:tr>
        <w:tc>
          <w:tcPr>
            <w:gridSpan w:val="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DEFF3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b/>
                <w:bCs/>
                <w:color w:val="16335B"/>
                <w:sz w:val="18"/>
                <w:szCs w:val="18"/>
              </w:rPr>
              <w:t xml:space="preserve">9A — Core Reporting</w:t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77</w:t>
            </w:r>
          </w:p>
        </w:tc>
        <w:tc>
          <w:tcPr>
            <w:tcW w:type="dxa" w:w="4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Platform produces a dedicated incremental lift report — isolating revenue attributable to the loyalty program from natural repeat-visit behavior.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78</w:t>
            </w:r>
          </w:p>
        </w:tc>
        <w:tc>
          <w:tcPr>
            <w:tcW w:type="dxa" w:w="4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Platform reports discount efficiency — incentive cost versus incremental revenue generated per campaign.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79</w:t>
            </w:r>
          </w:p>
        </w:tc>
        <w:tc>
          <w:tcPr>
            <w:tcW w:type="dxa" w:w="4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Platform displays LTV, AOV, basket size, and visit frequency by member segment in a single dashboard — without requiring Excel export.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80</w:t>
            </w:r>
          </w:p>
        </w:tc>
        <w:tc>
          <w:tcPr>
            <w:tcW w:type="dxa" w:w="4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Platform supports campaign-level revenue attribution — tracing a specific offer or campaign to a measured revenue outcome.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81</w:t>
            </w:r>
          </w:p>
        </w:tc>
        <w:tc>
          <w:tcPr>
            <w:tcW w:type="dxa" w:w="4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Platform produces a finance-ready stored value liability report suitable for CFO/finance team use without post-processing.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82</w:t>
            </w:r>
          </w:p>
        </w:tc>
        <w:tc>
          <w:tcPr>
            <w:tcW w:type="dxa" w:w="4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Reporting can be segmented by location, region, banner, and concept independently — not only in aggregate.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83</w:t>
            </w:r>
          </w:p>
        </w:tc>
        <w:tc>
          <w:tcPr>
            <w:tcW w:type="dxa" w:w="4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Franchise or banner-level users can access their own reporting without visibility into cross-brand data.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gridSpan w:val="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DEFF3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b/>
                <w:bCs/>
                <w:color w:val="16335B"/>
                <w:sz w:val="18"/>
                <w:szCs w:val="18"/>
              </w:rPr>
              <w:t xml:space="preserve">9B — BI &amp; Data Export</w:t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84</w:t>
            </w:r>
          </w:p>
        </w:tc>
        <w:tc>
          <w:tcPr>
            <w:tcW w:type="dxa" w:w="4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Platform has a native integration with Power BI, Tableau, Looker, or Google BigQuery — enabling data push to client-owned BI environments.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85</w:t>
            </w:r>
          </w:p>
        </w:tc>
        <w:tc>
          <w:tcPr>
            <w:tcW w:type="dxa" w:w="4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Client can export raw transaction and member data via API or SFTP at any time without vendor involvement.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</w:tbl>
    <w:p>
      <w:r>
        <w:br w:type="page"/>
      </w:r>
    </w:p>
    <w:p>
      <w:pPr>
        <w:pStyle w:val="Heading1"/>
      </w:pPr>
      <w:r>
        <w:t xml:space="preserve">Section 10: Implementation, Migration &amp; Support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00"/>
        <w:gridCol w:w="4700"/>
        <w:gridCol w:w="700"/>
        <w:gridCol w:w="1400"/>
        <w:gridCol w:w="2160"/>
      </w:tblGrid>
      <w:tr>
        <w:trPr>
          <w:tblHeader/>
        </w:trP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6335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#</w:t>
            </w:r>
          </w:p>
        </w:tc>
        <w:tc>
          <w:tcPr>
            <w:tcW w:type="dxa" w:w="4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6335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Capability Statement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6335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Wt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6335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Response Code</w:t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6335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Notes / Evidence</w:t>
            </w:r>
          </w:p>
        </w:tc>
      </w:tr>
      <w:tr>
        <w:tc>
          <w:tcPr>
            <w:gridSpan w:val="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DEFF3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b/>
                <w:bCs/>
                <w:color w:val="16335B"/>
                <w:sz w:val="18"/>
                <w:szCs w:val="18"/>
              </w:rPr>
              <w:t xml:space="preserve">10A — Implementation</w:t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86</w:t>
            </w:r>
          </w:p>
        </w:tc>
        <w:tc>
          <w:tcPr>
            <w:tcW w:type="dxa" w:w="4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Vendor can commit to a median full-implementation timeline of 4 months or less for a complex omni-channel retail environment.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87</w:t>
            </w:r>
          </w:p>
        </w:tc>
        <w:tc>
          <w:tcPr>
            <w:tcW w:type="dxa" w:w="4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All implementation work is performed by vendor employees — no subcontractors used for client-specific delivery.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88</w:t>
            </w:r>
          </w:p>
        </w:tc>
        <w:tc>
          <w:tcPr>
            <w:tcW w:type="dxa" w:w="4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A dedicated Project Manager and Technical Lead are assigned to the client from kickoff through 90 days post-go-live.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89</w:t>
            </w:r>
          </w:p>
        </w:tc>
        <w:tc>
          <w:tcPr>
            <w:tcW w:type="dxa" w:w="4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Platform implementation includes a sandbox environment for testing prior to production go-live.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gridSpan w:val="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DEFF3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b/>
                <w:bCs/>
                <w:color w:val="16335B"/>
                <w:sz w:val="18"/>
                <w:szCs w:val="18"/>
              </w:rPr>
              <w:t xml:space="preserve">10B — Migration</w:t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90</w:t>
            </w:r>
          </w:p>
        </w:tc>
        <w:tc>
          <w:tcPr>
            <w:tcW w:type="dxa" w:w="4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Vendor has documented experience migrating from our current loyalty platform — including member database, point balances, and stored value balances.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91</w:t>
            </w:r>
          </w:p>
        </w:tc>
        <w:tc>
          <w:tcPr>
            <w:tcW w:type="dxa" w:w="4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Member transaction history migrates completely — not just current balances.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92</w:t>
            </w:r>
          </w:p>
        </w:tc>
        <w:tc>
          <w:tcPr>
            <w:tcW w:type="dxa" w:w="4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Vendor provides a parallel run period where both old and new systems operate simultaneously with a documented rollback plan.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93</w:t>
            </w:r>
          </w:p>
        </w:tc>
        <w:tc>
          <w:tcPr>
            <w:tcW w:type="dxa" w:w="4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Vendor can connect us with two references who completed a migration from a competing platform within the past 18 months.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gridSpan w:val="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DEFF3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b/>
                <w:bCs/>
                <w:color w:val="16335B"/>
                <w:sz w:val="18"/>
                <w:szCs w:val="18"/>
              </w:rPr>
              <w:t xml:space="preserve">10C — Post-Launch Support</w:t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94</w:t>
            </w:r>
          </w:p>
        </w:tc>
        <w:tc>
          <w:tcPr>
            <w:tcW w:type="dxa" w:w="4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Client has a named, dedicated Customer Success Manager as their primary post-launch relationship contact — not a shared queue.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95</w:t>
            </w:r>
          </w:p>
        </w:tc>
        <w:tc>
          <w:tcPr>
            <w:tcW w:type="dxa" w:w="4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Platform provides 24/7/365 technical support for critical and emergency issues.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96</w:t>
            </w:r>
          </w:p>
        </w:tc>
        <w:tc>
          <w:tcPr>
            <w:tcW w:type="dxa" w:w="4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Platform includes a documented escalation path for P1 issues with a defined resolution SLA.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97</w:t>
            </w:r>
          </w:p>
        </w:tc>
        <w:tc>
          <w:tcPr>
            <w:tcW w:type="dxa" w:w="4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Vendor provides structured onboarding training — minimum 6 live sessions — for business users, with recorded sessions available post-go-live.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</w:tbl>
    <w:p>
      <w:r>
        <w:br w:type="page"/>
      </w:r>
    </w:p>
    <w:p>
      <w:pPr>
        <w:pStyle w:val="Heading1"/>
      </w:pPr>
      <w:r>
        <w:t xml:space="preserve">Section 11: Commercials, Contract &amp; Vendor Risk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00"/>
        <w:gridCol w:w="4700"/>
        <w:gridCol w:w="700"/>
        <w:gridCol w:w="1400"/>
        <w:gridCol w:w="2160"/>
      </w:tblGrid>
      <w:tr>
        <w:trPr>
          <w:tblHeader/>
        </w:trP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6335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#</w:t>
            </w:r>
          </w:p>
        </w:tc>
        <w:tc>
          <w:tcPr>
            <w:tcW w:type="dxa" w:w="4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6335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Capability Statement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6335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Wt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6335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Response Code</w:t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6335B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Notes / Evidence</w:t>
            </w:r>
          </w:p>
        </w:tc>
      </w:tr>
      <w:tr>
        <w:tc>
          <w:tcPr>
            <w:gridSpan w:val="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DEFF3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b/>
                <w:bCs/>
                <w:color w:val="16335B"/>
                <w:sz w:val="18"/>
                <w:szCs w:val="18"/>
              </w:rPr>
              <w:t xml:space="preserve">11A — Pricing Transparency</w:t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98</w:t>
            </w:r>
          </w:p>
        </w:tc>
        <w:tc>
          <w:tcPr>
            <w:tcW w:type="dxa" w:w="4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Vendor provides a complete written fee schedule — base platform fee, per-location fee, per-member fee, transaction fees, API call fees, and all communication fees — before contract signature.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99</w:t>
            </w:r>
          </w:p>
        </w:tc>
        <w:tc>
          <w:tcPr>
            <w:tcW w:type="dxa" w:w="4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Pricing is unlimited within licensed modules — no per-member, per-transaction, or per-API-call overage fees.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100</w:t>
            </w:r>
          </w:p>
        </w:tc>
        <w:tc>
          <w:tcPr>
            <w:tcW w:type="dxa" w:w="4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Communication fees (email, SMS, push) are clearly itemized and priced at standard CPM rates — not bundled into the platform fee in a way that obscures unit cost.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101</w:t>
            </w:r>
          </w:p>
        </w:tc>
        <w:tc>
          <w:tcPr>
            <w:tcW w:type="dxa" w:w="4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Volume tier thresholds that change platform pricing are clearly documented — including the member count or location count that triggers tier change.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102</w:t>
            </w:r>
          </w:p>
        </w:tc>
        <w:tc>
          <w:tcPr>
            <w:tcW w:type="dxa" w:w="4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Vendor accepts Net 30 payment terms on all recurring and milestone invoices.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1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gridSpan w:val="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DEFF3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b/>
                <w:bCs/>
                <w:color w:val="16335B"/>
                <w:sz w:val="18"/>
                <w:szCs w:val="18"/>
              </w:rPr>
              <w:t xml:space="preserve">11B — Contract Terms &amp; Exit Rights</w:t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103</w:t>
            </w:r>
          </w:p>
        </w:tc>
        <w:tc>
          <w:tcPr>
            <w:tcW w:type="dxa" w:w="4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Minimum contract term is clearly stated and does not exceed 3 years for initial agreement.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104</w:t>
            </w:r>
          </w:p>
        </w:tc>
        <w:tc>
          <w:tcPr>
            <w:tcW w:type="dxa" w:w="4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Auto-renewal provisions require written notice from vendor at least 90 days before renewal date.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105</w:t>
            </w:r>
          </w:p>
        </w:tc>
        <w:tc>
          <w:tcPr>
            <w:tcW w:type="dxa" w:w="4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Contract includes a performance-based exit right if the platform materially underperforms against agreed SLAs or KPIs.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106</w:t>
            </w:r>
          </w:p>
        </w:tc>
        <w:tc>
          <w:tcPr>
            <w:tcW w:type="dxa" w:w="4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Contract includes a change-of-control provision granting the client notification rights and a termination option if the vendor is acquired.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107</w:t>
            </w:r>
          </w:p>
        </w:tc>
        <w:tc>
          <w:tcPr>
            <w:tcW w:type="dxa" w:w="4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Annual price increases are capped contractually — not left to vendor discretion at renewal.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gridSpan w:val="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DEFF3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b/>
                <w:bCs/>
                <w:color w:val="16335B"/>
                <w:sz w:val="18"/>
                <w:szCs w:val="18"/>
              </w:rPr>
              <w:t xml:space="preserve">11C — Data at Termination &amp; Offboarding</w:t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108</w:t>
            </w:r>
          </w:p>
        </w:tc>
        <w:tc>
          <w:tcPr>
            <w:tcW w:type="dxa" w:w="4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On termination, client receives full data export — member profiles, transaction history, point balances, stored value balances, segment definitions, campaign history — within 30 days.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109</w:t>
            </w:r>
          </w:p>
        </w:tc>
        <w:tc>
          <w:tcPr>
            <w:tcW w:type="dxa" w:w="4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Data export on termination is provided at no additional fee.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110</w:t>
            </w:r>
          </w:p>
        </w:tc>
        <w:tc>
          <w:tcPr>
            <w:tcW w:type="dxa" w:w="4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Platform provides a self-service offboarding runbook — a documented process for transitioning to a new vendor without requiring vendor cooperation.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gridSpan w:val="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DEFF3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b/>
                <w:bCs/>
                <w:color w:val="16335B"/>
                <w:sz w:val="18"/>
                <w:szCs w:val="18"/>
              </w:rPr>
              <w:t xml:space="preserve">11D — Vendor Financial &amp; Operational Risk</w:t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111</w:t>
            </w:r>
          </w:p>
        </w:tc>
        <w:tc>
          <w:tcPr>
            <w:tcW w:type="dxa" w:w="4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Vendor is willing to provide evidence of financial stability — audited financials or investor backing documentation — under NDA.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112</w:t>
            </w:r>
          </w:p>
        </w:tc>
        <w:tc>
          <w:tcPr>
            <w:tcW w:type="dxa" w:w="4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Vendor has no pending litigation or regulatory actions that could materially affect platform continuity.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113</w:t>
            </w:r>
          </w:p>
        </w:tc>
        <w:tc>
          <w:tcPr>
            <w:tcW w:type="dxa" w:w="4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Vendor's product roadmap for the next 12 months is documented and has been shared with clients — not exclusively disclosed in sales cycles.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1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114</w:t>
            </w:r>
          </w:p>
        </w:tc>
        <w:tc>
          <w:tcPr>
            <w:tcW w:type="dxa" w:w="4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>Vendor can describe their process for client-requested feature prioritization — how requests enter the roadmap and how clients are notified of decisions.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1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</w:tbl>
    <w:p>
      <w:r>
        <w:br w:type="page"/>
      </w:r>
    </w:p>
    <w:p>
      <w:pPr>
        <w:pStyle w:val="Heading1"/>
      </w:pPr>
      <w:r>
        <w:t xml:space="preserve">Commercial Disclosure Request</w:t>
      </w:r>
    </w:p>
    <w:p>
      <w:pPr>
        <w:spacing w:after="200"/>
      </w:pPr>
      <w:r>
        <w:t xml:space="preserve">In addition to the capability responses above, please provide a complete written fee schedule as a separate attachment, including:</w:t>
      </w:r>
    </w:p>
    <w:p>
      <w:pPr>
        <w:pStyle w:val="ListParagraph"/>
        <w:numPr>
          <w:ilvl w:val="0"/>
          <w:numId w:val="2"/>
        </w:numPr>
      </w:pPr>
      <w:r>
        <w:t xml:space="preserve">Base platform fee</w:t>
      </w:r>
    </w:p>
    <w:p>
      <w:pPr>
        <w:pStyle w:val="ListParagraph"/>
        <w:numPr>
          <w:ilvl w:val="0"/>
          <w:numId w:val="2"/>
        </w:numPr>
      </w:pPr>
      <w:r>
        <w:t xml:space="preserve">Per-location fee</w:t>
      </w:r>
    </w:p>
    <w:p>
      <w:pPr>
        <w:pStyle w:val="ListParagraph"/>
        <w:numPr>
          <w:ilvl w:val="0"/>
          <w:numId w:val="2"/>
        </w:numPr>
      </w:pPr>
      <w:r>
        <w:t xml:space="preserve">Per-member fee</w:t>
      </w:r>
    </w:p>
    <w:p>
      <w:pPr>
        <w:pStyle w:val="ListParagraph"/>
        <w:numPr>
          <w:ilvl w:val="0"/>
          <w:numId w:val="2"/>
        </w:numPr>
      </w:pPr>
      <w:r>
        <w:t xml:space="preserve">Transaction fees</w:t>
      </w:r>
    </w:p>
    <w:p>
      <w:pPr>
        <w:pStyle w:val="ListParagraph"/>
        <w:numPr>
          <w:ilvl w:val="0"/>
          <w:numId w:val="2"/>
        </w:numPr>
      </w:pPr>
      <w:r>
        <w:t xml:space="preserve">API call fees, if applicable</w:t>
      </w:r>
    </w:p>
    <w:p>
      <w:pPr>
        <w:pStyle w:val="ListParagraph"/>
        <w:numPr>
          <w:ilvl w:val="0"/>
          <w:numId w:val="2"/>
        </w:numPr>
      </w:pPr>
      <w:r>
        <w:t xml:space="preserve">All communication fees (email, SMS, push) with unit rates</w:t>
      </w:r>
    </w:p>
    <w:p>
      <w:pPr>
        <w:pStyle w:val="ListParagraph"/>
        <w:numPr>
          <w:ilvl w:val="0"/>
          <w:numId w:val="2"/>
        </w:numPr>
      </w:pPr>
      <w:r>
        <w:t xml:space="preserve">Volume tier thresholds that change pricing</w:t>
      </w:r>
    </w:p>
    <w:p>
      <w:pPr>
        <w:pStyle w:val="ListParagraph"/>
        <w:numPr>
          <w:ilvl w:val="0"/>
          <w:numId w:val="2"/>
        </w:numPr>
      </w:pPr>
      <w:r>
        <w:t xml:space="preserve">Minimum contract term and auto-renewal notice window</w:t>
      </w:r>
    </w:p>
    <w:p>
      <w:pPr>
        <w:spacing w:after="300" w:before="200"/>
      </w:pPr>
      <w:r>
        <w:rPr>
          <w:i/>
          <w:iCs/>
        </w:rPr>
        <w:t xml:space="preserve">This information must be provided in writing before contract signature, not disclosed verbally during a sales conversation.</w:t>
      </w:r>
    </w:p>
    <w:p>
      <w:r>
        <w:br w:type="page"/>
      </w:r>
    </w:p>
    <w:p>
      <w:pPr>
        <w:pStyle w:val="Heading1"/>
      </w:pPr>
      <w:r>
        <w:t xml:space="preserve">Reference Request</w:t>
      </w:r>
    </w:p>
    <w:p>
      <w:pPr>
        <w:spacing w:after="200"/>
      </w:pPr>
      <w:r>
        <w:t xml:space="preserve">Please provide at least two reference contacts who can speak directly to platform performance. References must be reachable by phone; written testimonials alone do not satisfy this request.</w:t>
      </w:r>
    </w:p>
    <w:p>
      <w:pPr>
        <w:spacing w:before="200"/>
      </w:pPr>
      <w:r>
        <w:rPr>
          <w:b/>
          <w:bCs/>
        </w:rPr>
        <w:t xml:space="preserve">Reference 1</w:t>
      </w:r>
    </w:p>
    <w:p>
      <w:r>
        <w:t xml:space="preserve">Company name: ____________________________</w:t>
      </w:r>
    </w:p>
    <w:p>
      <w:r>
        <w:t xml:space="preserve">Contact name and title: ____________________________</w:t>
      </w:r>
    </w:p>
    <w:p>
      <w:r>
        <w:t xml:space="preserve">Phone: ____________________________</w:t>
      </w:r>
    </w:p>
    <w:p>
      <w:r>
        <w:t xml:space="preserve">Relevant context (POS environment, locations, migration history, etc.): ____________________________</w:t>
      </w:r>
    </w:p>
    <w:p>
      <w:pPr>
        <w:spacing w:before="200"/>
      </w:pPr>
      <w:r>
        <w:rPr>
          <w:b/>
          <w:bCs/>
        </w:rPr>
        <w:t xml:space="preserve">Reference 2</w:t>
      </w:r>
    </w:p>
    <w:p>
      <w:r>
        <w:t xml:space="preserve">Company name: ____________________________</w:t>
      </w:r>
    </w:p>
    <w:p>
      <w:r>
        <w:t xml:space="preserve">Contact name and title: ____________________________</w:t>
      </w:r>
    </w:p>
    <w:p>
      <w:r>
        <w:t xml:space="preserve">Phone: ____________________________</w:t>
      </w:r>
    </w:p>
    <w:p>
      <w:r>
        <w:t xml:space="preserve">Relevant context (POS environment, locations, migration history, etc.): ____________________________</w:t>
      </w:r>
    </w:p>
    <w:p>
      <w:r>
        <w:br w:type="page"/>
      </w:r>
    </w:p>
    <w:p>
      <w:pPr>
        <w:pStyle w:val="Heading1"/>
      </w:pPr>
      <w:r>
        <w:t xml:space="preserve">Submission Checklist</w:t>
      </w:r>
    </w:p>
    <w:p>
      <w:pPr>
        <w:spacing w:after="200"/>
      </w:pPr>
      <w:r>
        <w:t xml:space="preserve">Before returning this document, confirm:</w:t>
      </w:r>
    </w:p>
    <w:p>
      <w:pPr>
        <w:pStyle w:val="ListParagraph"/>
        <w:numPr>
          <w:ilvl w:val="0"/>
          <w:numId w:val="2"/>
        </w:numPr>
      </w:pPr>
      <w:r>
        <w:t xml:space="preserve">All 114 capability statements have a response code</w:t>
      </w:r>
    </w:p>
    <w:p>
      <w:pPr>
        <w:pStyle w:val="ListParagraph"/>
        <w:numPr>
          <w:ilvl w:val="0"/>
          <w:numId w:val="2"/>
        </w:numPr>
      </w:pPr>
      <w:r>
        <w:t xml:space="preserve">Every Weight-3 item marked NS or CR includes a dated remediation plan in Notes</w:t>
      </w:r>
    </w:p>
    <w:p>
      <w:pPr>
        <w:pStyle w:val="ListParagraph"/>
        <w:numPr>
          <w:ilvl w:val="0"/>
          <w:numId w:val="2"/>
        </w:numPr>
      </w:pPr>
      <w:r>
        <w:t xml:space="preserve">The Commercial Disclosure attachment is included</w:t>
      </w:r>
    </w:p>
    <w:p>
      <w:pPr>
        <w:pStyle w:val="ListParagraph"/>
        <w:numPr>
          <w:ilvl w:val="0"/>
          <w:numId w:val="2"/>
        </w:numPr>
      </w:pPr>
      <w:r>
        <w:t xml:space="preserve">Both reference contacts are provided and confirmed reachable</w:t>
      </w:r>
    </w:p>
    <w:p>
      <w:pPr>
        <w:pStyle w:val="ListParagraph"/>
        <w:numPr>
          <w:ilvl w:val="0"/>
          <w:numId w:val="2"/>
        </w:numPr>
      </w:pPr>
      <w:r>
        <w:t xml:space="preserve">The document is returned in its original editable format</w:t>
      </w:r>
    </w:p>
    <w:sectPr>
      <w:headerReference w:type="default" r:id="rId7"/>
      <w:footerReference w:type="default" r:id="rId8"/>
      <w:pgSz w:w="12240" w:h="15840" w:orient="portrait"/>
      <w:pgMar w:top="1080" w:right="1080" w:bottom="108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sz w:val="16"/>
        <w:szCs w:val="16"/>
      </w:rPr>
      <w:t xml:space="preserve">Page </w:t>
    </w:r>
    <w:r>
      <w:rPr>
        <w:sz w:val="16"/>
        <w:szCs w:val="16"/>
      </w:rPr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color w:val="5B6472"/>
        <w:sz w:val="16"/>
        <w:szCs w:val="16"/>
      </w:rPr>
      <w:t xml:space="preserve">Loyalty Platform RFP — Vendor Response Document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00" w:before="200"/>
      <w:outlineLvl w:val="0"/>
    </w:pPr>
    <w:rPr>
      <w:rFonts w:ascii="Arial" w:cs="Arial" w:eastAsia="Arial" w:hAnsi="Arial"/>
      <w:b/>
      <w:bCs/>
      <w:color w:val="16335B"/>
      <w:sz w:val="28"/>
      <w:szCs w:val="28"/>
    </w:rPr>
  </w:style>
  <w:style w:type="paragraph" w:styleId="Title">
    <w:name w:val="Title"/>
    <w:basedOn w:val="Normal"/>
    <w:next w:val="Normal"/>
    <w:qFormat/>
    <w:pPr>
      <w:spacing w:after="100"/>
      <w:outlineLvl w:val="0"/>
    </w:pPr>
    <w:rPr>
      <w:rFonts w:ascii="Arial" w:cs="Arial" w:eastAsia="Arial" w:hAnsi="Arial"/>
      <w:b/>
      <w:bCs/>
      <w:sz w:val="44"/>
      <w:szCs w:val="44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2026-06-30T05:40:58.684Z</dcterms:created>
  <dcterms:modified xsi:type="dcterms:W3CDTF">2026-06-30T05:40:58.684Z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