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200"/>
      </w:pPr>
      <w:r>
        <w:rPr>
          <w:color w:val="16335B"/>
        </w:rPr>
        <w:t xml:space="preserve">Vendor Response Worksheet</w:t>
      </w:r>
    </w:p>
    <w:p>
      <w:pPr>
        <w:spacing w:after="400"/>
      </w:pPr>
      <w:r>
        <w:rPr>
          <w:color w:val="5B6472"/>
          <w:sz w:val="24"/>
          <w:szCs w:val="24"/>
        </w:rPr>
        <w:t xml:space="preserve">Loyalty Platform Capability Statements — please complete and return</w:t>
      </w:r>
    </w:p>
    <w:p>
      <w:pPr>
        <w:spacing w:after="100"/>
      </w:pPr>
      <w:r>
        <w:rPr>
          <w:sz w:val="22"/>
          <w:szCs w:val="22"/>
        </w:rPr>
        <w:t xml:space="preserve">Vendor name: ____________________________</w:t>
      </w:r>
    </w:p>
    <w:p>
      <w:pPr>
        <w:spacing w:after="100"/>
      </w:pPr>
      <w:r>
        <w:rPr>
          <w:sz w:val="22"/>
          <w:szCs w:val="22"/>
        </w:rPr>
        <w:t xml:space="preserve">Completed by (name, title): ____________________________</w:t>
      </w:r>
    </w:p>
    <w:p>
      <w:pPr>
        <w:spacing w:after="400"/>
      </w:pPr>
      <w:r>
        <w:rPr>
          <w:sz w:val="22"/>
          <w:szCs w:val="22"/>
        </w:rPr>
        <w:t xml:space="preserve">Date: ____________________________</w:t>
      </w:r>
    </w:p>
    <w:p>
      <w:pPr>
        <w:pStyle w:val="Heading1"/>
      </w:pPr>
      <w:r>
        <w:t xml:space="preserve">Instructions</w:t>
      </w:r>
    </w:p>
    <w:p>
      <w:pPr>
        <w:spacing w:after="100"/>
      </w:pPr>
      <w:r>
        <w:t xml:space="preserve">For each statement below, enter one response code in the Your Response column: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FS — </w:t>
      </w:r>
      <w:r>
        <w:t xml:space="preserve">Fully Supported — live in production today, no additional development required.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PS — </w:t>
      </w:r>
      <w:r>
        <w:t xml:space="preserve">Partially Supported — core capability exists; describe limitations under Evidence Provided.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CR — </w:t>
      </w:r>
      <w:r>
        <w:t xml:space="preserve">Configuration / Custom Required — requires configuration or custom development; state effort and cost.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RD — </w:t>
      </w:r>
      <w:r>
        <w:t xml:space="preserve">On Roadmap — not available today; state a committed release date.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NS — </w:t>
      </w:r>
      <w:r>
        <w:t xml:space="preserve">Not Supported — no current or planned support.</w:t>
      </w:r>
    </w:p>
    <w:p>
      <w:pPr>
        <w:spacing w:after="300" w:before="200"/>
      </w:pPr>
      <w:r>
        <w:rPr>
          <w:i/>
          <w:iCs/>
        </w:rPr>
        <w:t xml:space="preserve">For each response, briefly note the evidence available to support it (documentation link, demo capability, or reference customer). Detailed evidence can be provided separately if referenced here.</w:t>
      </w:r>
    </w:p>
    <w:p>
      <w:r>
        <w:br w:type="page"/>
      </w:r>
    </w:p>
    <w:p>
      <w:pPr>
        <w:pStyle w:val="Heading1"/>
      </w:pPr>
      <w:r>
        <w:t xml:space="preserve">Section 1: Technical Architecture &amp; POS Integration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5400"/>
        <w:gridCol w:w="700"/>
        <w:gridCol w:w="1400"/>
        <w:gridCol w:w="14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Your Response</w:t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Evidence Provided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has a native, certified (not planned) integration with every POS system in our current environment.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 new POS integration can be added within 90 days of request without custom development billed to the client.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handles offline POS transactions — queuing, store-and-forward, and post-reconnect reconciliation — without loyalty data loss.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receives SKU-level transaction data (not basket totals only) from the POS per transaction.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receives tender type, location ID, cashier ID, and daypart per transaction.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No middleware vendor or connector fee is required between our POS and the platform.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can provide two live references running the platform across 3+ different POS systems simultaneously.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is API-first — all loyalty logic is accessible and executable via REST API without requiring the vendor UI.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publishes committed P95 and P99 API response time SLAs under peak transaction load.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webhooks and event-driven architecture for real-time data flow to external systems.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11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autoscaling to handle peak transaction bursts without degraded response time.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12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has pre-built, certified integrations with major ecommerce platforms (Shopify, Salesforce Commerce, Magento, etc.).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2: Platform Reliability &amp; Infrastructure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5400"/>
        <w:gridCol w:w="700"/>
        <w:gridCol w:w="1400"/>
        <w:gridCol w:w="14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Your Response</w:t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Evidence Provided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13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contractually commits to 99.9% or greater uptime SLA.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14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Actual platform uptime over the past 12 months meets or exceeds the stated SLA.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15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SLA breach triggers automatic financial credits — not client-escalation-required credits.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16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provides a real-time status page accessible to the client at all times.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17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has documented RTO and RPO targets meeting enterprise-grade requirements.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18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performs automated daily backups with geographically redundant storage.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19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DR testing is conducted at least annually with documented results available to clients.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20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is hosted on an enterprise-grade cloud provider (AWS, GCP, Azure) with multi-region support.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3: Customer Data, CDP &amp; First-Party Ownership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5400"/>
        <w:gridCol w:w="700"/>
        <w:gridCol w:w="1400"/>
        <w:gridCol w:w="14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Your Response</w:t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Evidence Provided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21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The client legally owns all customer data collected through the platform — including raw records, behavioral data, and derived attributes.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22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On contract termination, client receives a full data export in a standard machine-readable format (CSV, JSON) within 30 days at no additional fee.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23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Client can export a full data snapshot at any time during the contract — not only at termination.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24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data is never used to train shared models that benefit other clients without explicit client opt-in.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25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performs automated identity resolution — merging duplicate customer records across locations, channels, and purchase methods into a single profile.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26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Anonymous transaction history can be retroactively attached to a customer profile upon enrollment.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27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Customer profiles support household-level linkage for multi-shopper accounts.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28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Customer profiles can incorporate non-transactional data — survey responses, email engagement, app activity, web behavior.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29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cross-banner profile visibility for multi-format operators while maintaining banner-level data separation.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30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is SOC 2 Type II certified with a report dated within the past 12 months.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31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is PCI DSS compliant for relevant cardholder data flows.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32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has documented CCPA and applicable state privacy law compliance — including DSAR workflow.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33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GDPR compliance for any EU-resident member data.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4: Loyalty Program Management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5400"/>
        <w:gridCol w:w="700"/>
        <w:gridCol w:w="1400"/>
        <w:gridCol w:w="14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Your Response</w:t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Evidence Provided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34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points-based, visit-based, spend-based, and tiered earn structures — configurable without custom development.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35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Business users can modify earn rules, redemption thresholds, and tier definitions without IT involvement.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36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complex conditional earn logic — category-specific, daypart-specific, location-specific, and member-tier-specific rules simultaneously.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37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resolves offer stacking conflicts automatically and provides configurable rules for which offer takes precedence.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38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manufacturer / CPG-funded offer management — including ingest, redemption tracking, and reporting for third-party funded incentives.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39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non-transactional earning events — birthday, referral, survey completion, app download, check-in, profile completion.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40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multi-banner or multi-concept operations — separate program rules and member pools per banner with roll-up corporate reporting.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41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Members can earn and redeem points across all locations, including locations on different POS systems, from day one.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42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experiential rewards, charitable donation options, and non-discount reward types.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43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gamification mechanics — challenges, streaks, bonus events, and tiered status progression.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5: Stored Value &amp; Gift Card Management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5400"/>
        <w:gridCol w:w="700"/>
        <w:gridCol w:w="1400"/>
        <w:gridCol w:w="14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Your Response</w:t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Evidence Provided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44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Gift card and stored value management is native to the platform — not a third-party integration.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45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tracks outstanding stored value liability in real time and produces a finance-ready liability report.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46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Customers can redeem stored value across all channels — in-store, online, and mobile — from a single unified balance.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47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digital gift card issuance via email and SMS.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48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Gift cards can be used programmatically as a loyalty reward, win-back offer, or promotional incentive.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49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includes proactive gift card fraud detection — monitoring enrollment patterns, redemption anomalies, and balance manipulation.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50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handles breakage accounting and produces state-by-state escheatment compliance reports.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51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Anonymous gift card purchasers can be identified and converted to loyalty members over time — with their transaction history preserved.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6: Offer Management, AI &amp; Decisioning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5400"/>
        <w:gridCol w:w="700"/>
        <w:gridCol w:w="1400"/>
        <w:gridCol w:w="14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Your Response</w:t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Evidence Provided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52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targeted offer creation — including SKU-specific, category-specific, visit-frequency-based, and spend-threshold-based offers.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53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Offers can be targeted to individually defined member segments without batch processing lag — real-time eligibility evaluation at transaction.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54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time-bound offers — expiring by date, by member inactivity window, or by redemption count.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55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includes a production next-best-offer engine that selects the highest-probability-to-convert offer per individual member at transaction time.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56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includes production send-time optimization — delivering communications at the individually optimal time per member based on historical engagement.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57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includes production churn prediction — flagging at-risk members before churn occurs with configurable intervention triggers.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58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individual-level offer decisioning — delivering a different offer to two members in the same segment based on their individual behavior.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59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AI models are trained exclusively on the client's own data — not on shared data across the vendor's customer base.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7: Marketing Automation &amp; Channel Delivery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5400"/>
        <w:gridCol w:w="700"/>
        <w:gridCol w:w="1400"/>
        <w:gridCol w:w="14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Your Response</w:t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Evidence Provided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60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multi-step triggered campaigns — enrollment series, post-purchase flows, lapse triggers, win-back sequences — configurable by business users.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61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A/B testing and holdout groups natively — without exporting to an external tool.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62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cross-channel orchestration — coordinating email, SMS, push notification, and direct mail in a single campaign workflow.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63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Franchise or location-level users can access brand-approved templates and send location-specific campaigns to their member cohort only.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64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has a native ESP — no third-party email vendor required for standard campaign delivery.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65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SMS/MMS delivery natively or via a tightly integrated carrier — with delivery receipts and opt-out management.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66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mobile push notification delivery — including integration with a client's existing branded app via SDK.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67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Apple Wallet and Google Wallet passes for loyalty ID, balance display, and personalized offers.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68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Member-facing communication design is fully controlled by the client — not locked in vendor-managed templates.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8: Enrollment &amp; Member Experience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5400"/>
        <w:gridCol w:w="700"/>
        <w:gridCol w:w="1400"/>
        <w:gridCol w:w="14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Your Response</w:t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Evidence Provided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69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Customer can complete full loyalty enrollment at a POS terminal in under 60 seconds without a smartphone.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70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enrollment via SMS keyword, web URL, QR code, and app — in addition to POS.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71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can provide enrollment rate benchmarks broken down by channel across current client base.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72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Existing gift card holders can be converted to loyalty members with their stored value balance preserved.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73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can match and merge a new enrollee's anonymous transaction history to their new loyalty profile at enrollment.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74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Members can access point balance, tier status, offer library, and transaction history via a self-service web portal — no app required.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75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member preference capture — communication channel, frequency, category interests — and uses those preferences in campaign targeting.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76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Member communications are personalized with individual-level merge variables — not just name and account number.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9: Finance-Ready Reporting &amp; ROI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5400"/>
        <w:gridCol w:w="700"/>
        <w:gridCol w:w="1400"/>
        <w:gridCol w:w="14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Your Response</w:t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Evidence Provided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77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produces a dedicated incremental lift report — isolating revenue attributable to the loyalty program from natural repeat-visit behavior.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78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reports discount efficiency — incentive cost versus incremental revenue generated per campaign.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79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displays LTV, AOV, basket size, and visit frequency by member segment in a single dashboard — without requiring Excel export.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80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campaign-level revenue attribution — tracing a specific offer or campaign to a measured revenue outcome.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81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produces a finance-ready stored value liability report suitable for CFO/finance team use without post-processing.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82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Reporting can be segmented by location, region, banner, and concept independently — not only in aggregate.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83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Franchise or banner-level users can access their own reporting without visibility into cross-brand data.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84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has a native integration with Power BI, Tableau, Looker, or Google BigQuery — enabling data push to client-owned BI environments.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85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Client can export raw transaction and member data via API or SFTP at any time without vendor involvement.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10: Implementation, Migration &amp; Support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5400"/>
        <w:gridCol w:w="700"/>
        <w:gridCol w:w="1400"/>
        <w:gridCol w:w="14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Your Response</w:t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Evidence Provided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86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can commit to a median full-implementation timeline of 4 months or less for a complex omni-channel retail environment.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87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All implementation work is performed by vendor employees — no subcontractors used for client-specific delivery.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88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 dedicated Project Manager and Technical Lead are assigned to the client from kickoff through 90 days post-go-live.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89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implementation includes a sandbox environment for testing prior to production go-live.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90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has documented experience migrating from our current loyalty platform — including member database, point balances, and stored value balances.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91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Member transaction history migrates completely — not just current balances.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92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provides a parallel run period where both old and new systems operate simultaneously with a documented rollback plan.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93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can connect us with two references who completed a migration from a competing platform within the past 18 months.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94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Client has a named, dedicated Customer Success Manager as their primary post-launch relationship contact — not a shared queue.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95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provides 24/7/365 technical support for critical and emergency issues.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96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includes a documented escalation path for P1 issues with a defined resolution SLA.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97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provides structured onboarding training — minimum 6 live sessions — for business users, with recorded sessions available post-go-live.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11: Commercials, Contract &amp; Vendor Risk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5400"/>
        <w:gridCol w:w="700"/>
        <w:gridCol w:w="1400"/>
        <w:gridCol w:w="14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Your Response</w:t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Evidence Provided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98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provides a complete written fee schedule — base platform fee, per-location fee, per-member fee, transaction fees, API call fees, and all communication fees — before contract signature.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99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Pricing is unlimited within licensed modules — no per-member, per-transaction, or per-API-call overage fees.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100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Communication fees (email, SMS, push) are clearly itemized and priced at standard CPM rates — not bundled into the platform fee in a way that obscures unit cost.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101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Volume tier thresholds that change platform pricing are clearly documented — including the member count or location count that triggers tier change.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102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accepts Net 30 payment terms on all recurring and milestone invoices.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103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Minimum contract term is clearly stated and does not exceed 3 years for initial agreement.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104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Auto-renewal provisions require written notice from vendor at least 90 days before renewal date.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105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Contract includes a performance-based exit right if the platform materially underperforms against agreed SLAs or KPIs.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106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Contract includes a change-of-control provision granting the client notification rights and a termination option if the vendor is acquired.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107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Annual price increases are capped contractually — not left to vendor discretion at renewal.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108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On termination, client receives full data export — member profiles, transaction history, point balances, stored value balances, segment definitions, campaign history — within 30 days.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109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Data export on termination is provided at no additional fee.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110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provides a self-service offboarding runbook — a documented process for transitioning to a new vendor without requiring vendor cooperation.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111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is willing to provide evidence of financial stability — audited financials or investor backing documentation — under NDA.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112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has no pending litigation or regulatory actions that could materially affect platform continuity.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113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Vendor's product roadmap for the next 12 months is documented and has been shared with clients — not exclusively disclosed in sales cycles.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114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can describe their process for client-requested feature prioritization — how requests enter the roadmap and how clients are notified of decisions.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References</w:t>
      </w:r>
    </w:p>
    <w:p>
      <w:pPr>
        <w:spacing w:after="200"/>
      </w:pPr>
      <w:r>
        <w:t xml:space="preserve">Please provide at least two reference contacts reachable by phone.</w:t>
      </w:r>
    </w:p>
    <w:p>
      <w:pPr>
        <w:spacing w:before="200"/>
      </w:pPr>
      <w:r>
        <w:rPr>
          <w:b/>
          <w:bCs/>
        </w:rPr>
        <w:t xml:space="preserve">Reference 1</w:t>
      </w:r>
    </w:p>
    <w:p>
      <w:r>
        <w:t xml:space="preserve">Company / contact / phone: ____________________________</w:t>
      </w:r>
    </w:p>
    <w:p>
      <w:pPr>
        <w:spacing w:before="200"/>
      </w:pPr>
      <w:r>
        <w:rPr>
          <w:b/>
          <w:bCs/>
        </w:rPr>
        <w:t xml:space="preserve">Reference 2</w:t>
      </w:r>
    </w:p>
    <w:p>
      <w:r>
        <w:t xml:space="preserve">Company / contact / phone: ____________________________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sz w:val="16"/>
        <w:szCs w:val="16"/>
      </w:rPr>
      <w:t xml:space="preserve">Page </w:t>
    </w:r>
    <w:r>
      <w:rPr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B6472"/>
        <w:sz w:val="16"/>
        <w:szCs w:val="16"/>
      </w:rPr>
      <w:t xml:space="preserve">Vendor Response Worksheet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18"/>
        <w:szCs w:val="1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00"/>
      <w:outlineLvl w:val="0"/>
    </w:pPr>
    <w:rPr>
      <w:rFonts w:ascii="Arial" w:cs="Arial" w:eastAsia="Arial" w:hAnsi="Arial"/>
      <w:b/>
      <w:bCs/>
      <w:color w:val="16335B"/>
      <w:sz w:val="26"/>
      <w:szCs w:val="26"/>
    </w:rPr>
  </w:style>
  <w:style w:type="paragraph" w:styleId="Title">
    <w:name w:val="Title"/>
    <w:basedOn w:val="Normal"/>
    <w:next w:val="Normal"/>
    <w:qFormat/>
    <w:pPr>
      <w:spacing w:after="100"/>
      <w:outlineLvl w:val="0"/>
    </w:pPr>
    <w:rPr>
      <w:rFonts w:ascii="Arial" w:cs="Arial" w:eastAsia="Arial" w:hAnsi="Arial"/>
      <w:b/>
      <w:bCs/>
      <w:sz w:val="40"/>
      <w:szCs w:val="4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2026-06-30T05:41:27.637Z</dcterms:created>
  <dcterms:modified xsi:type="dcterms:W3CDTF">2026-06-30T05:41:27.638Z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