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b/>
          <w:bCs/>
          <w:sz w:val="24"/>
          <w:szCs w:val="24"/>
        </w:rPr>
        <w:t xml:space="preserve">SRQ RESOURCES INC.</w:t>
      </w:r>
    </w:p>
    <w:p>
      <w:pPr>
        <w:spacing w:after="360"/>
        <w:jc w:val="center"/>
      </w:pPr>
      <w:r>
        <w:rPr>
          <w:b/>
          <w:bCs/>
          <w:sz w:val="24"/>
          <w:szCs w:val="24"/>
          <w:u w:val="single"/>
        </w:rPr>
        <w:t xml:space="preserve">Mandat du conseil d'administration</w:t>
      </w:r>
    </w:p>
    <w:p>
      <w:pPr>
        <w:spacing w:after="160" w:before="240"/>
      </w:pPr>
      <w:r>
        <w:rPr>
          <w:b/>
          <w:bCs/>
          <w:caps/>
          <w:sz w:val="24"/>
          <w:szCs w:val="24"/>
        </w:rPr>
        <w:t xml:space="preserve">Généralités</w:t>
      </w:r>
    </w:p>
    <w:p>
      <w:pPr>
        <w:spacing w:after="240"/>
        <w:jc w:val="both"/>
      </w:pPr>
      <w:r>
        <w:rPr>
          <w:sz w:val="24"/>
          <w:szCs w:val="24"/>
        </w:rPr>
        <w:t xml:space="preserve">Aux termes du droit des sociétés et du droit des valeurs mobilières fédéraux et provinciaux applicables au Canada, le conseil d’administration (le « conseil ») de SRQ Resources Inc. (la « Société ») est responsable de la gestion des activités et des affaires internes de la Société et a le devoir d’agir avec honnêteté, de bonne foi et dans le meilleur intérêt de la Société et de ses actionnaires. Le conseil peut s’acquitter directement de ses responsabilités, mais déléguera certaines responsabilités à des comités du conseil ainsi qu’aux hauts dirigeants et à la direction de la Société. Le conseil peut nommer les dirigeants et constituer les comités qu’il juge nécessaires et appropriés pour s’acquitter de ses fonctions. Chaque comité aura son propre mandat ou sa propre charte et, s’il le juge nécessaire, le conseil fournira aux hauts dirigeants et à la direction des descriptions de poste pour les guider dans l’exercice de leurs fonctions.</w:t>
      </w:r>
    </w:p>
    <w:p>
      <w:pPr>
        <w:spacing w:after="240"/>
        <w:jc w:val="both"/>
      </w:pPr>
      <w:r>
        <w:rPr>
          <w:sz w:val="24"/>
          <w:szCs w:val="24"/>
        </w:rPr>
        <w:t xml:space="preserve">La responsabilité de la gestion quotidienne des activités et des affaires internes de la Société incombera généralement au président et chef de la direction de la Société (le « chef de la direction »). Le président et chef de la direction sera responsable de la gestion de la Société conformément aux plans stratégiques, aux objectifs et aux politiques établis par le conseil. Le conseil et ses comités sont chargés de superviser les activités de la haute direction afin de s’assurer que les plans et politiques établis par le conseil sont respectés et que les buts et objectifs fixés par le conseil sont atteints.</w:t>
      </w:r>
    </w:p>
    <w:p>
      <w:pPr>
        <w:spacing w:after="240"/>
        <w:jc w:val="both"/>
      </w:pPr>
      <w:r>
        <w:rPr>
          <w:sz w:val="24"/>
          <w:szCs w:val="24"/>
        </w:rPr>
        <w:t xml:space="preserve">Le conseil doit se réunir au moins deux fois par année afin d’examiner les activités d’exploitation et les résultats financiers de la Société et d’évaluer ses pratiques en matière de gouvernance. Les membres du conseil et des comités constitués par le conseil sont tenus d’assister à toutes les réunions du conseil ou du comité, selon le cas, et d’avoir examiné au préalable la documentation qui y sera discutée ou examinée.</w:t>
      </w:r>
    </w:p>
    <w:p>
      <w:pPr>
        <w:spacing w:after="240"/>
        <w:jc w:val="both"/>
      </w:pPr>
      <w:r>
        <w:rPr>
          <w:sz w:val="24"/>
          <w:szCs w:val="24"/>
        </w:rPr>
        <w:t xml:space="preserve">Les principales fonctions du conseil consistent à :</w:t>
      </w:r>
    </w:p>
    <w:p>
      <w:pPr>
        <w:pStyle w:val="ListParagraph"/>
        <w:numPr>
          <w:ilvl w:val="0"/>
          <w:numId w:val="2"/>
        </w:numPr>
        <w:spacing w:after="60"/>
        <w:jc w:val="both"/>
      </w:pPr>
      <w:r>
        <w:rPr>
          <w:sz w:val="24"/>
          <w:szCs w:val="24"/>
        </w:rPr>
        <w:t xml:space="preserve">exercer ses fonctions et responsabilités conformément aux lois de la province de Québec (le territoire de constitution de la Société), aux lois du Canada qui y sont applicables et aux lois de tous les pays où la Société exerce ses activités;</w:t>
      </w:r>
    </w:p>
    <w:p>
      <w:pPr>
        <w:pStyle w:val="ListParagraph"/>
        <w:numPr>
          <w:ilvl w:val="0"/>
          <w:numId w:val="2"/>
        </w:numPr>
        <w:spacing w:after="60"/>
        <w:jc w:val="both"/>
      </w:pPr>
      <w:r>
        <w:rPr>
          <w:sz w:val="24"/>
          <w:szCs w:val="24"/>
        </w:rPr>
        <w:t xml:space="preserve">superviser et suivre le rendement de la Société au regard de ses buts et objectifs et des intérêts à long terme de ses actionnaires et de ses autres parties prenantes;</w:t>
      </w:r>
    </w:p>
    <w:p>
      <w:pPr>
        <w:pStyle w:val="ListParagraph"/>
        <w:numPr>
          <w:ilvl w:val="0"/>
          <w:numId w:val="2"/>
        </w:numPr>
        <w:spacing w:after="60"/>
        <w:jc w:val="both"/>
      </w:pPr>
      <w:r>
        <w:rPr>
          <w:sz w:val="24"/>
          <w:szCs w:val="24"/>
        </w:rPr>
        <w:t xml:space="preserve">promouvoir une culture d’honnêteté, d’intégrité et de conduite éthique au sein de la Société et dans tous les pays où elle exerce ses activités; et</w:t>
      </w:r>
    </w:p>
    <w:p>
      <w:pPr>
        <w:pStyle w:val="ListParagraph"/>
        <w:numPr>
          <w:ilvl w:val="0"/>
          <w:numId w:val="2"/>
        </w:numPr>
        <w:spacing w:after="60"/>
        <w:jc w:val="both"/>
      </w:pPr>
      <w:r>
        <w:rPr>
          <w:sz w:val="24"/>
          <w:szCs w:val="24"/>
        </w:rPr>
        <w:t xml:space="preserve">de concert avec la direction de la Société et conformément au droit des sociétés et au droit des valeurs mobilières applicables, élaborer des politiques assurant la communication rapide et exacte de l’information importante concernant la Société.</w:t>
      </w:r>
    </w:p>
    <w:p>
      <w:pPr>
        <w:spacing w:after="160" w:before="240"/>
      </w:pPr>
      <w:r>
        <w:rPr>
          <w:b/>
          <w:bCs/>
          <w:caps/>
          <w:sz w:val="24"/>
          <w:szCs w:val="24"/>
        </w:rPr>
        <w:t xml:space="preserve">Composition du conseil</w:t>
      </w:r>
    </w:p>
    <w:p>
      <w:pPr>
        <w:spacing w:after="240"/>
        <w:jc w:val="both"/>
      </w:pPr>
      <w:r>
        <w:rPr>
          <w:sz w:val="24"/>
          <w:szCs w:val="24"/>
        </w:rPr>
        <w:t xml:space="preserve">Le conseil sera composé du nombre d’administrateurs approprié compte tenu de son stade de développement et de l’étendue des activités entreprises par la Société à un moment donné. La politique de la Bourse de croissance TSX exige que les sociétés inscrites comptent en tout temps au moins trois administrateurs. Le nombre d’administrateurs composant le conseil pour l’exercice à venir doit être approuvé par les actionnaires à chaque assemblée générale annuelle (l’« AGA »). Le conseil doit ensuite approuver la fixation de ce nombre d’administrateurs à chaque réunion du conseil suivant l’AGA ou au moyen d’une résolution écrite tenant lieu de réunion.</w:t>
      </w:r>
    </w:p>
    <w:p>
      <w:pPr>
        <w:spacing w:after="240"/>
        <w:jc w:val="both"/>
      </w:pPr>
      <w:r>
        <w:rPr>
          <w:sz w:val="24"/>
          <w:szCs w:val="24"/>
        </w:rPr>
        <w:t xml:space="preserve">Le conseil s’efforcera de proposer un groupe d’administrateurs suffisamment nombreux et présentant des parcours et une expertise suffisamment variés pour gérer les activités et les affaires internes de la Société de manière à la fois efficiente et appropriée, compte tenu du stade de développement et des objectifs stratégiques de la Société.</w:t>
      </w:r>
    </w:p>
    <w:p>
      <w:pPr>
        <w:spacing w:after="240"/>
        <w:jc w:val="both"/>
      </w:pPr>
      <w:r>
        <w:rPr>
          <w:sz w:val="24"/>
          <w:szCs w:val="24"/>
        </w:rPr>
        <w:t xml:space="preserve">La majorité des membres du conseil doivent être des « administrateurs indépendants » au sens de l’Instruction générale 58-201 relative à la gouvernance (l’« IG 58-201 »). Aux termes de l’IG 58-201, un administrateur est indépendant s’il n’a aucune relation importante, directe ou indirecte, avec l’émetteur dont il est administrateur. Une « relation importante » s’entend d’une relation dont on pourrait raisonnablement s’attendre à ce qu’elle nuise à l’exercice du jugement indépendant d’une personne à titre d’administrateur de cet émetteur. Le président du conseil doit être un administrateur indépendant de la Société.</w:t>
      </w:r>
    </w:p>
    <w:p>
      <w:pPr>
        <w:spacing w:after="240"/>
        <w:jc w:val="both"/>
      </w:pPr>
      <w:r>
        <w:rPr>
          <w:sz w:val="24"/>
          <w:szCs w:val="24"/>
        </w:rPr>
        <w:t xml:space="preserve">Le quorum nécessaire à la conduite des affaires des administrateurs peut être fixé par les administrateurs et, s’il ne l’est pas, est réputé fixé à deux administrateurs ou, si le nombre d’administrateurs est fixé à un, est réputé fixé à un administrateur, ce dernier pouvant constituer une réunion. À l’heure actuelle, le quorum est fixé à deux administrateurs, ce qui comprend les administrateurs qui sont indépendants, ceux qui ne le sont pas et ceux qui sont en conflit d’intérêts à l’égard de la question soumise au conseil.</w:t>
      </w:r>
    </w:p>
    <w:p>
      <w:pPr>
        <w:spacing w:after="160" w:before="240"/>
      </w:pPr>
      <w:r>
        <w:rPr>
          <w:b/>
          <w:bCs/>
          <w:caps/>
          <w:sz w:val="24"/>
          <w:szCs w:val="24"/>
        </w:rPr>
        <w:t xml:space="preserve">Responsabilités</w:t>
      </w:r>
    </w:p>
    <w:p>
      <w:pPr>
        <w:spacing w:after="240"/>
        <w:jc w:val="both"/>
      </w:pPr>
      <w:r>
        <w:rPr>
          <w:sz w:val="24"/>
          <w:szCs w:val="24"/>
        </w:rPr>
        <w:t xml:space="preserve">Le conseil, directement et par l’entremise de ses comités, sera responsable de ce qui suit :</w:t>
      </w:r>
    </w:p>
    <w:p>
      <w:pPr>
        <w:spacing w:after="140" w:before="200"/>
      </w:pPr>
      <w:r>
        <w:rPr>
          <w:b/>
          <w:bCs/>
          <w:sz w:val="24"/>
          <w:szCs w:val="24"/>
        </w:rPr>
        <w:t xml:space="preserve">Sélection et suivi de la haute direction</w:t>
      </w:r>
    </w:p>
    <w:p>
      <w:pPr>
        <w:pStyle w:val="ListParagraph"/>
        <w:numPr>
          <w:ilvl w:val="0"/>
          <w:numId w:val="2"/>
        </w:numPr>
        <w:spacing w:after="60"/>
        <w:jc w:val="both"/>
      </w:pPr>
      <w:r>
        <w:rPr>
          <w:sz w:val="24"/>
          <w:szCs w:val="24"/>
        </w:rPr>
        <w:t xml:space="preserve">sélectionner et nommer des personnes qualifiées aux postes de président, de chef de la direction et de chef des finances de la Société (le « chef des finances »), ainsi qu’aux autres postes de dirigeants ou de direction qui, de l’avis du conseil, peuvent être requis pour gérer efficacement les affaires de la Société;</w:t>
      </w:r>
    </w:p>
    <w:p>
      <w:pPr>
        <w:pStyle w:val="ListParagraph"/>
        <w:numPr>
          <w:ilvl w:val="0"/>
          <w:numId w:val="2"/>
        </w:numPr>
        <w:spacing w:after="60"/>
        <w:jc w:val="both"/>
      </w:pPr>
      <w:r>
        <w:rPr>
          <w:sz w:val="24"/>
          <w:szCs w:val="24"/>
        </w:rPr>
        <w:t xml:space="preserve">s’assurer de l’intégrité du chef de la direction, du chef des finances et, au besoin, des autres membres de la direction, et veiller à ce que ces personnes instaurent une culture d’intégrité dans l’ensemble de la Société;</w:t>
      </w:r>
    </w:p>
    <w:p>
      <w:pPr>
        <w:pStyle w:val="ListParagraph"/>
        <w:numPr>
          <w:ilvl w:val="0"/>
          <w:numId w:val="2"/>
        </w:numPr>
        <w:spacing w:after="60"/>
        <w:jc w:val="both"/>
      </w:pPr>
      <w:r>
        <w:rPr>
          <w:sz w:val="24"/>
          <w:szCs w:val="24"/>
        </w:rPr>
        <w:t xml:space="preserve">évaluer, au moins une fois par année, le rendement du chef de la direction, du chef des finances et, au besoin, des autres membres de la direction;</w:t>
      </w:r>
    </w:p>
    <w:p>
      <w:pPr>
        <w:pStyle w:val="ListParagraph"/>
        <w:numPr>
          <w:ilvl w:val="0"/>
          <w:numId w:val="2"/>
        </w:numPr>
        <w:spacing w:after="60"/>
        <w:jc w:val="both"/>
      </w:pPr>
      <w:r>
        <w:rPr>
          <w:sz w:val="24"/>
          <w:szCs w:val="24"/>
        </w:rPr>
        <w:t xml:space="preserve">avec l’apport du comité de rémunération, déterminer la rémunération appropriée du chef de la direction, du chef des finances et des autres membres de la direction;</w:t>
      </w:r>
    </w:p>
    <w:p>
      <w:pPr>
        <w:pStyle w:val="ListParagraph"/>
        <w:numPr>
          <w:ilvl w:val="0"/>
          <w:numId w:val="2"/>
        </w:numPr>
        <w:spacing w:after="60"/>
        <w:jc w:val="both"/>
      </w:pPr>
      <w:r>
        <w:rPr>
          <w:sz w:val="24"/>
          <w:szCs w:val="24"/>
        </w:rPr>
        <w:t xml:space="preserve">fournir des orientations et des conseils au chef de la direction dans l’exercice de ses fonctions et l’assister dans ses efforts de mise en œuvre du plan stratégique et d’atteinte des buts et objectifs établis par le conseil;</w:t>
      </w:r>
    </w:p>
    <w:p>
      <w:pPr>
        <w:pStyle w:val="ListParagraph"/>
        <w:numPr>
          <w:ilvl w:val="0"/>
          <w:numId w:val="2"/>
        </w:numPr>
        <w:spacing w:after="60"/>
        <w:jc w:val="both"/>
      </w:pPr>
      <w:r>
        <w:rPr>
          <w:sz w:val="24"/>
          <w:szCs w:val="24"/>
        </w:rPr>
        <w:t xml:space="preserve">élaborer des programmes d’orientation et de formation adéquats à l’intention des hauts dirigeants et des autres membres de la direction et veiller à ce que la direction se tienne au fait des développements récents dans le secteur d’activité de la Société en encourageant la participation à des activités de formation continue; et</w:t>
      </w:r>
    </w:p>
    <w:p>
      <w:pPr>
        <w:pStyle w:val="ListParagraph"/>
        <w:numPr>
          <w:ilvl w:val="0"/>
          <w:numId w:val="2"/>
        </w:numPr>
        <w:spacing w:after="60"/>
        <w:jc w:val="both"/>
      </w:pPr>
      <w:r>
        <w:rPr>
          <w:sz w:val="24"/>
          <w:szCs w:val="24"/>
        </w:rPr>
        <w:t xml:space="preserve">planifier la relève de la haute direction.</w:t>
      </w:r>
    </w:p>
    <w:p>
      <w:pPr>
        <w:spacing w:after="140" w:before="200"/>
      </w:pPr>
      <w:r>
        <w:rPr>
          <w:b/>
          <w:bCs/>
          <w:sz w:val="24"/>
          <w:szCs w:val="24"/>
        </w:rPr>
        <w:t xml:space="preserve">Planification stratégique</w:t>
      </w:r>
    </w:p>
    <w:p>
      <w:pPr>
        <w:pStyle w:val="ListParagraph"/>
        <w:numPr>
          <w:ilvl w:val="0"/>
          <w:numId w:val="2"/>
        </w:numPr>
        <w:spacing w:after="60"/>
        <w:jc w:val="both"/>
      </w:pPr>
      <w:r>
        <w:rPr>
          <w:sz w:val="24"/>
          <w:szCs w:val="24"/>
        </w:rPr>
        <w:t xml:space="preserve">examiner et approuver, sur une base annuelle, le plan stratégique de la Société, lequel devrait tenir compte des buts et objectifs de croissance et de développement de la Société établis par le conseil ainsi que des occasions et des risques liés aux activités de la Société;</w:t>
      </w:r>
    </w:p>
    <w:p>
      <w:pPr>
        <w:pStyle w:val="ListParagraph"/>
        <w:numPr>
          <w:ilvl w:val="0"/>
          <w:numId w:val="2"/>
        </w:numPr>
        <w:spacing w:after="60"/>
        <w:jc w:val="both"/>
      </w:pPr>
      <w:r>
        <w:rPr>
          <w:sz w:val="24"/>
          <w:szCs w:val="24"/>
        </w:rPr>
        <w:t xml:space="preserve">suivre la mise en œuvre du plan stratégique de la Société par le chef de la direction et les autres membres de l’équipe de direction de la Société et prendre des mesures correctives au besoin;</w:t>
      </w:r>
    </w:p>
    <w:p>
      <w:pPr>
        <w:pStyle w:val="ListParagraph"/>
        <w:numPr>
          <w:ilvl w:val="0"/>
          <w:numId w:val="2"/>
        </w:numPr>
        <w:spacing w:after="60"/>
        <w:jc w:val="both"/>
      </w:pPr>
      <w:r>
        <w:rPr>
          <w:sz w:val="24"/>
          <w:szCs w:val="24"/>
        </w:rPr>
        <w:t xml:space="preserve">examiner et approuver, sur une base annuelle, un budget annuel de la Société suffisant pour lui permettre d’entreprendre les activités et d’atteindre les objectifs énoncés dans son plan stratégique, et qui affecte les ressources financières de la Société de manière prudente, efficiente et économique;</w:t>
      </w:r>
    </w:p>
    <w:p>
      <w:pPr>
        <w:pStyle w:val="ListParagraph"/>
        <w:numPr>
          <w:ilvl w:val="0"/>
          <w:numId w:val="2"/>
        </w:numPr>
        <w:spacing w:after="60"/>
        <w:jc w:val="both"/>
      </w:pPr>
      <w:r>
        <w:rPr>
          <w:sz w:val="24"/>
          <w:szCs w:val="24"/>
        </w:rPr>
        <w:t xml:space="preserve">examiner avec le chef de la direction, le chef des finances et les autres membres de la direction de la Société les opérations importantes qui sortent du cours normal des activités de la Société ainsi que les autres actes importants de la Société nécessitant l’approbation du conseil; et</w:t>
      </w:r>
    </w:p>
    <w:p>
      <w:pPr>
        <w:pStyle w:val="ListParagraph"/>
        <w:numPr>
          <w:ilvl w:val="0"/>
          <w:numId w:val="2"/>
        </w:numPr>
        <w:spacing w:after="60"/>
        <w:jc w:val="both"/>
      </w:pPr>
      <w:r>
        <w:rPr>
          <w:sz w:val="24"/>
          <w:szCs w:val="24"/>
        </w:rPr>
        <w:t xml:space="preserve">examiner et discuter avec le chef de la direction, le chef des finances et les autres membres de la direction de la Société les risques importants pouvant toucher la Société et les systèmes mis en place pour gérer ces risques.</w:t>
      </w:r>
    </w:p>
    <w:p>
      <w:pPr>
        <w:spacing w:after="140" w:before="200"/>
      </w:pPr>
      <w:r>
        <w:rPr>
          <w:b/>
          <w:bCs/>
          <w:sz w:val="24"/>
          <w:szCs w:val="24"/>
        </w:rPr>
        <w:t xml:space="preserve">Comités</w:t>
      </w:r>
    </w:p>
    <w:p>
      <w:pPr>
        <w:pStyle w:val="ListParagraph"/>
        <w:numPr>
          <w:ilvl w:val="0"/>
          <w:numId w:val="2"/>
        </w:numPr>
        <w:spacing w:after="60"/>
        <w:jc w:val="both"/>
      </w:pPr>
      <w:r>
        <w:rPr>
          <w:sz w:val="24"/>
          <w:szCs w:val="24"/>
        </w:rPr>
        <w:t xml:space="preserve">constituer les comités appropriés du conseil et leur déléguer des responsabilités à l’égard de fonctions précises;</w:t>
      </w:r>
    </w:p>
    <w:p>
      <w:pPr>
        <w:pStyle w:val="ListParagraph"/>
        <w:numPr>
          <w:ilvl w:val="0"/>
          <w:numId w:val="2"/>
        </w:numPr>
        <w:spacing w:after="60"/>
        <w:jc w:val="both"/>
      </w:pPr>
      <w:r>
        <w:rPr>
          <w:sz w:val="24"/>
          <w:szCs w:val="24"/>
        </w:rPr>
        <w:t xml:space="preserve">sélectionner les membres des comités possédant une expertise dans le domaine relevant de la responsabilité déléguée au comité en question et leur fournir des chartes ou des mandats écrits pour les guider dans l’exercice de leurs fonctions;</w:t>
      </w:r>
    </w:p>
    <w:p>
      <w:pPr>
        <w:pStyle w:val="ListParagraph"/>
        <w:numPr>
          <w:ilvl w:val="0"/>
          <w:numId w:val="2"/>
        </w:numPr>
        <w:spacing w:after="60"/>
        <w:jc w:val="both"/>
      </w:pPr>
      <w:r>
        <w:rPr>
          <w:sz w:val="24"/>
          <w:szCs w:val="24"/>
        </w:rPr>
        <w:t xml:space="preserve">ces comités comprendront pour le moment un comité d’audit et un comité de rémunération; et</w:t>
      </w:r>
    </w:p>
    <w:p>
      <w:pPr>
        <w:pStyle w:val="ListParagraph"/>
        <w:numPr>
          <w:ilvl w:val="0"/>
          <w:numId w:val="2"/>
        </w:numPr>
        <w:spacing w:after="60"/>
        <w:jc w:val="both"/>
      </w:pPr>
      <w:r>
        <w:rPr>
          <w:sz w:val="24"/>
          <w:szCs w:val="24"/>
        </w:rPr>
        <w:t xml:space="preserve">tenir compte des avis, des propositions et des recommandations des divers comités du conseil dans la prise de décisions du conseil.</w:t>
      </w:r>
    </w:p>
    <w:p>
      <w:pPr>
        <w:spacing w:after="140" w:before="200"/>
      </w:pPr>
      <w:r>
        <w:rPr>
          <w:b/>
          <w:bCs/>
          <w:sz w:val="24"/>
          <w:szCs w:val="24"/>
        </w:rPr>
        <w:t xml:space="preserve">Contrôle à l'égard de l'information financière</w:t>
      </w:r>
    </w:p>
    <w:p>
      <w:pPr>
        <w:pStyle w:val="ListParagraph"/>
        <w:numPr>
          <w:ilvl w:val="0"/>
          <w:numId w:val="2"/>
        </w:numPr>
        <w:spacing w:after="60"/>
        <w:jc w:val="both"/>
      </w:pPr>
      <w:r>
        <w:rPr>
          <w:sz w:val="24"/>
          <w:szCs w:val="24"/>
        </w:rPr>
        <w:t xml:space="preserve">avec l’assistance du comité d’audit de la Société, sélectionner un auditeur en vue de sa nomination à l’assemblée générale annuelle de la Société;</w:t>
      </w:r>
    </w:p>
    <w:p>
      <w:pPr>
        <w:pStyle w:val="ListParagraph"/>
        <w:numPr>
          <w:ilvl w:val="0"/>
          <w:numId w:val="2"/>
        </w:numPr>
        <w:spacing w:after="60"/>
        <w:jc w:val="both"/>
      </w:pPr>
      <w:r>
        <w:rPr>
          <w:sz w:val="24"/>
          <w:szCs w:val="24"/>
        </w:rPr>
        <w:t xml:space="preserve">examiner, sur une base annuelle, le rendement des auditeurs de la Société;</w:t>
      </w:r>
    </w:p>
    <w:p>
      <w:pPr>
        <w:pStyle w:val="ListParagraph"/>
        <w:numPr>
          <w:ilvl w:val="0"/>
          <w:numId w:val="2"/>
        </w:numPr>
        <w:spacing w:after="60"/>
        <w:jc w:val="both"/>
      </w:pPr>
      <w:r>
        <w:rPr>
          <w:sz w:val="24"/>
          <w:szCs w:val="24"/>
        </w:rPr>
        <w:t xml:space="preserve">avec l’assistance du comité d’audit, examiner la qualité et le caractère adéquat du contrôle interne à l’égard de l’information financière et des systèmes d’information de gestion de la Société, en vue de s’assurer que l’information financière destinée à la diffusion publique est complète et exacte et présente fidèlement la situation financière de la Société;</w:t>
      </w:r>
    </w:p>
    <w:p>
      <w:pPr>
        <w:pStyle w:val="ListParagraph"/>
        <w:numPr>
          <w:ilvl w:val="0"/>
          <w:numId w:val="2"/>
        </w:numPr>
        <w:spacing w:after="60"/>
        <w:jc w:val="both"/>
      </w:pPr>
      <w:r>
        <w:rPr>
          <w:sz w:val="24"/>
          <w:szCs w:val="24"/>
        </w:rPr>
        <w:t xml:space="preserve">avec l’assistance du comité d’audit, examiner et approuver les états financiers trimestriels non audités et les états financiers annuels audités de la Société ainsi que les rapports de gestion annuels et trimestriels préparés à l’égard de ces états financiers. À l’heure actuelle, le conseil a autorisé le comité d’audit et lui a délégué, pour le compte du conseil, l’examen et l’approbation des états financiers trimestriels non audités et des rapports de gestion connexes; et</w:t>
      </w:r>
    </w:p>
    <w:p>
      <w:pPr>
        <w:pStyle w:val="ListParagraph"/>
        <w:numPr>
          <w:ilvl w:val="0"/>
          <w:numId w:val="2"/>
        </w:numPr>
        <w:spacing w:after="60"/>
        <w:jc w:val="both"/>
      </w:pPr>
      <w:r>
        <w:rPr>
          <w:sz w:val="24"/>
          <w:szCs w:val="24"/>
        </w:rPr>
        <w:t xml:space="preserve">veiller à ce que l’information financière, y compris les états financiers et les rapports de gestion mentionnés ci-dessus, soit adéquatement communiquée aux actionnaires et au public en temps opportun et sur une base régulière.</w:t>
      </w:r>
    </w:p>
    <w:p>
      <w:pPr>
        <w:spacing w:after="140" w:before="200"/>
      </w:pPr>
      <w:r>
        <w:rPr>
          <w:b/>
          <w:bCs/>
          <w:sz w:val="24"/>
          <w:szCs w:val="24"/>
        </w:rPr>
        <w:t xml:space="preserve">Conformité réglementaire</w:t>
      </w:r>
    </w:p>
    <w:p>
      <w:pPr>
        <w:pStyle w:val="ListParagraph"/>
        <w:numPr>
          <w:ilvl w:val="0"/>
          <w:numId w:val="2"/>
        </w:numPr>
        <w:spacing w:after="60"/>
        <w:jc w:val="both"/>
      </w:pPr>
      <w:r>
        <w:rPr>
          <w:sz w:val="24"/>
          <w:szCs w:val="24"/>
        </w:rPr>
        <w:t xml:space="preserve">mettre en place des systèmes visant à assurer le respect du droit des sociétés et du droit des valeurs mobilières applicables, des règlements et politiques, des règles et politiques de toute bourse à la cote de laquelle les actions de la Société sont inscrites et de tout autre régime réglementaire applicable;</w:t>
      </w:r>
    </w:p>
    <w:p>
      <w:pPr>
        <w:pStyle w:val="ListParagraph"/>
        <w:numPr>
          <w:ilvl w:val="0"/>
          <w:numId w:val="2"/>
        </w:numPr>
        <w:spacing w:after="60"/>
        <w:jc w:val="both"/>
      </w:pPr>
      <w:r>
        <w:rPr>
          <w:sz w:val="24"/>
          <w:szCs w:val="24"/>
        </w:rPr>
        <w:t xml:space="preserve">mettre en place des systèmes visant à assurer la communication rapide et exacte de l’information importante concernant les affaires de la Société, que cette information soit défavorable ou favorable;</w:t>
      </w:r>
    </w:p>
    <w:p>
      <w:pPr>
        <w:pStyle w:val="ListParagraph"/>
        <w:numPr>
          <w:ilvl w:val="0"/>
          <w:numId w:val="2"/>
        </w:numPr>
        <w:spacing w:after="60"/>
        <w:jc w:val="both"/>
      </w:pPr>
      <w:r>
        <w:rPr>
          <w:sz w:val="24"/>
          <w:szCs w:val="24"/>
        </w:rPr>
        <w:t xml:space="preserve">élaborer et mettre en œuvre un ensemble complet de principes et de lignes directrices en matière de gouvernance en vue de s’assurer que la Société respecte les exigences du droit des sociétés et du droit des valeurs mobilières applicables ainsi que les normes du secteur en la matière;</w:t>
      </w:r>
    </w:p>
    <w:p>
      <w:pPr>
        <w:pStyle w:val="ListParagraph"/>
        <w:numPr>
          <w:ilvl w:val="0"/>
          <w:numId w:val="2"/>
        </w:numPr>
        <w:spacing w:after="60"/>
        <w:jc w:val="both"/>
      </w:pPr>
      <w:r>
        <w:rPr>
          <w:sz w:val="24"/>
          <w:szCs w:val="24"/>
        </w:rPr>
        <w:t xml:space="preserve">établir et maintenir, au moyen d’examens périodiques et de mesures correctives au besoin, l’intégrité des systèmes de contrôle interne de la Société ainsi que de ses systèmes et procédures de contrôle de la communication de l’information;</w:t>
      </w:r>
    </w:p>
    <w:p>
      <w:pPr>
        <w:pStyle w:val="ListParagraph"/>
        <w:numPr>
          <w:ilvl w:val="0"/>
          <w:numId w:val="2"/>
        </w:numPr>
        <w:spacing w:after="60"/>
        <w:jc w:val="both"/>
      </w:pPr>
      <w:r>
        <w:rPr>
          <w:sz w:val="24"/>
          <w:szCs w:val="24"/>
        </w:rPr>
        <w:t xml:space="preserve">établir les politiques et procédures de la Société et en surveiller le respect, notamment le Code de conduite et d’éthique des affaires et la Politique sur les opérations d’initiés et les périodes d’interdiction d’opérations de la Société, les principes et lignes directrices en matière de gouvernance, la politique de communication, la politique de dénonciation, la politique environnementale, la politique en matière de santé et de sécurité ainsi que les diverses chartes et divers mandats des comités; et</w:t>
      </w:r>
    </w:p>
    <w:p>
      <w:pPr>
        <w:pStyle w:val="ListParagraph"/>
        <w:numPr>
          <w:ilvl w:val="0"/>
          <w:numId w:val="2"/>
        </w:numPr>
        <w:spacing w:after="60"/>
        <w:jc w:val="both"/>
      </w:pPr>
      <w:r>
        <w:rPr>
          <w:sz w:val="24"/>
          <w:szCs w:val="24"/>
        </w:rPr>
        <w:t xml:space="preserve">mettre en place et maintenir des systèmes de gérance environnementale et de gestion de la santé et de la sécurité conformes aux pratiques du secteur et aux lois et exigences réglementaires applicables dans les collectivités où la Société exerce ses activités.</w:t>
      </w:r>
    </w:p>
    <w:p>
      <w:pPr>
        <w:spacing w:after="140" w:before="200"/>
      </w:pPr>
      <w:r>
        <w:rPr>
          <w:b/>
          <w:bCs/>
          <w:sz w:val="24"/>
          <w:szCs w:val="24"/>
        </w:rPr>
        <w:t xml:space="preserve">Évaluation du conseil</w:t>
      </w:r>
    </w:p>
    <w:p>
      <w:pPr>
        <w:pStyle w:val="ListParagraph"/>
        <w:numPr>
          <w:ilvl w:val="0"/>
          <w:numId w:val="2"/>
        </w:numPr>
        <w:spacing w:after="60"/>
        <w:jc w:val="both"/>
      </w:pPr>
      <w:r>
        <w:rPr>
          <w:sz w:val="24"/>
          <w:szCs w:val="24"/>
        </w:rPr>
        <w:t xml:space="preserve">évaluer, au moins une fois par année, l’efficacité du conseil, de ses comités et de chaque administrateur;</w:t>
      </w:r>
    </w:p>
    <w:p>
      <w:pPr>
        <w:pStyle w:val="ListParagraph"/>
        <w:numPr>
          <w:ilvl w:val="0"/>
          <w:numId w:val="2"/>
        </w:numPr>
        <w:spacing w:after="60"/>
        <w:jc w:val="both"/>
      </w:pPr>
      <w:r>
        <w:rPr>
          <w:sz w:val="24"/>
          <w:szCs w:val="24"/>
        </w:rPr>
        <w:t xml:space="preserve">déterminer si la taille du conseil est appropriée compte tenu du stade de développement des activités de la Société;</w:t>
      </w:r>
    </w:p>
    <w:p>
      <w:pPr>
        <w:pStyle w:val="ListParagraph"/>
        <w:numPr>
          <w:ilvl w:val="0"/>
          <w:numId w:val="2"/>
        </w:numPr>
        <w:spacing w:after="60"/>
        <w:jc w:val="both"/>
      </w:pPr>
      <w:r>
        <w:rPr>
          <w:sz w:val="24"/>
          <w:szCs w:val="24"/>
        </w:rPr>
        <w:t xml:space="preserve">examiner l’indépendance de chaque membre du conseil afin de s’assurer que le conseil dans son ensemble satisfait aux exigences d’indépendance prévues par le droit des sociétés et le droit des valeurs mobilières applicables;</w:t>
      </w:r>
    </w:p>
    <w:p>
      <w:pPr>
        <w:pStyle w:val="ListParagraph"/>
        <w:numPr>
          <w:ilvl w:val="0"/>
          <w:numId w:val="2"/>
        </w:numPr>
        <w:spacing w:after="60"/>
        <w:jc w:val="both"/>
      </w:pPr>
      <w:r>
        <w:rPr>
          <w:sz w:val="24"/>
          <w:szCs w:val="24"/>
        </w:rPr>
        <w:t xml:space="preserve">établir un processus approprié de sélection et d’examen des nouveaux candidats au conseil;</w:t>
      </w:r>
    </w:p>
    <w:p>
      <w:pPr>
        <w:pStyle w:val="ListParagraph"/>
        <w:numPr>
          <w:ilvl w:val="0"/>
          <w:numId w:val="2"/>
        </w:numPr>
        <w:spacing w:after="60"/>
        <w:jc w:val="both"/>
      </w:pPr>
      <w:r>
        <w:rPr>
          <w:sz w:val="24"/>
          <w:szCs w:val="24"/>
        </w:rPr>
        <w:t xml:space="preserve">adopter un programme approprié d’orientation et de formation à l’intention des nouveaux membres du conseil; et</w:t>
      </w:r>
    </w:p>
    <w:p>
      <w:pPr>
        <w:pStyle w:val="ListParagraph"/>
        <w:numPr>
          <w:ilvl w:val="0"/>
          <w:numId w:val="2"/>
        </w:numPr>
        <w:spacing w:after="60"/>
        <w:jc w:val="both"/>
      </w:pPr>
      <w:r>
        <w:rPr>
          <w:sz w:val="24"/>
          <w:szCs w:val="24"/>
        </w:rPr>
        <w:t xml:space="preserve">établir une rémunération appropriée pour les membres du conseil sur la foi des avis et des recommandations du comité de rémunération.</w:t>
      </w:r>
    </w:p>
    <w:p>
      <w:pPr>
        <w:spacing w:after="140" w:before="200"/>
      </w:pPr>
      <w:r>
        <w:rPr>
          <w:b/>
          <w:bCs/>
          <w:sz w:val="24"/>
          <w:szCs w:val="24"/>
        </w:rPr>
        <w:t xml:space="preserve">Divers</w:t>
      </w:r>
    </w:p>
    <w:p>
      <w:pPr>
        <w:pStyle w:val="ListParagraph"/>
        <w:numPr>
          <w:ilvl w:val="0"/>
          <w:numId w:val="2"/>
        </w:numPr>
        <w:spacing w:after="60"/>
        <w:jc w:val="both"/>
      </w:pPr>
      <w:r>
        <w:rPr>
          <w:sz w:val="24"/>
          <w:szCs w:val="24"/>
        </w:rPr>
        <w:t xml:space="preserve">exercer les autres fonctions prescrites par la loi ou confiées au conseil dans les documents constitutifs de la Société; et</w:t>
      </w:r>
    </w:p>
    <w:p>
      <w:pPr>
        <w:pStyle w:val="ListParagraph"/>
        <w:numPr>
          <w:ilvl w:val="0"/>
          <w:numId w:val="2"/>
        </w:numPr>
        <w:spacing w:after="60"/>
        <w:jc w:val="both"/>
      </w:pPr>
      <w:r>
        <w:rPr>
          <w:sz w:val="24"/>
          <w:szCs w:val="24"/>
        </w:rPr>
        <w:t xml:space="preserve">examiner le présent mandat à l’occasion et y apporter les modifications que le conseil juge appropriées compte tenu de la situation de la Société ou de l’évolution des pratiques et des normes de gouvernance imposées ou rendues souhaitables par des modifications du droit des sociétés et du droit des valeurs mobilières applicables ou par l’évolution des normes et pratiques du secteur.</w:t>
      </w:r>
    </w:p>
    <w:p>
      <w:pPr>
        <w:spacing w:after="300"/>
      </w:pPr>
    </w:p>
    <w:p>
      <w:pPr>
        <w:spacing w:after="240"/>
        <w:jc w:val="both"/>
      </w:pPr>
      <w:r>
        <w:rPr>
          <w:i/>
          <w:iCs/>
          <w:sz w:val="24"/>
          <w:szCs w:val="24"/>
        </w:rPr>
        <w:t xml:space="preserve">Approuvé par le conseil d’administration le 8 février 2024.</w:t>
      </w:r>
    </w:p>
    <w:sectPr>
      <w:headerReference w:type="default" r:id="rId7"/>
      <w:headerReference w:type="first" r:id="rId8"/>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40"/>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431"/>
      </w:pPr>
    </w:lvl>
  </w:abstractNum>
  <w:abstractNum w:abstractNumId="3" w15:restartNumberingAfterBreak="0">
    <w:multiLevelType w:val="hybridMultilevel"/>
    <w:lvl w:ilvl="0" w15:tentative="1">
      <w:start w:val="1"/>
      <w:numFmt w:val="bullet"/>
      <w:lvlText w:val="◦"/>
      <w:lvlJc w:val="left"/>
      <w:pPr>
        <w:ind w:left="1080" w:hanging="431"/>
      </w:pPr>
    </w:lvl>
  </w:abstractNum>
  <w:abstractNum w:abstractNumId="4" w15:restartNumberingAfterBreak="0">
    <w:multiLevelType w:val="hybridMultilevel"/>
    <w:lvl w:ilvl="0" w15:tentative="1">
      <w:start w:val="1"/>
      <w:numFmt w:val="decimal"/>
      <w:lvlText w:val="%1."/>
      <w:lvlJc w:val="left"/>
      <w:pPr>
        <w:ind w:left="576" w:hanging="576"/>
      </w:pPr>
    </w:lvl>
  </w:abstractNum>
  <w:abstractNum w:abstractNumId="5" w15:restartNumberingAfterBreak="0">
    <w:multiLevelType w:val="hybridMultilevel"/>
    <w:lvl w:ilvl="0" w15:tentative="1">
      <w:start w:val="1"/>
      <w:numFmt w:val="decimal"/>
      <w:lvlText w:val="%1."/>
      <w:lvlJc w:val="left"/>
      <w:pPr>
        <w:ind w:left="576" w:hanging="576"/>
      </w:pPr>
    </w:lvl>
  </w:abstractNum>
  <w:abstractNum w:abstractNumId="6" w15:restartNumberingAfterBreak="0">
    <w:multiLevelType w:val="hybridMultilevel"/>
    <w:lvl w:ilvl="0" w15:tentative="1">
      <w:start w:val="1"/>
      <w:numFmt w:val="decimal"/>
      <w:lvlText w:val="%1."/>
      <w:lvlJc w:val="left"/>
      <w:pPr>
        <w:ind w:left="576" w:hanging="576"/>
      </w:pPr>
    </w:lvl>
  </w:abstractNum>
  <w:abstractNum w:abstractNumId="7" w15:restartNumberingAfterBreak="0">
    <w:multiLevelType w:val="hybridMultilevel"/>
    <w:lvl w:ilvl="0" w15:tentative="1">
      <w:start w:val="1"/>
      <w:numFmt w:val="decimal"/>
      <w:lvlText w:val="%1."/>
      <w:lvlJc w:val="left"/>
      <w:pPr>
        <w:ind w:left="576" w:hanging="576"/>
      </w:pPr>
    </w:lvl>
  </w:abstractNum>
  <w:abstractNum w:abstractNumId="8" w15:restartNumberingAfterBreak="0">
    <w:multiLevelType w:val="hybridMultilevel"/>
    <w:lvl w:ilvl="0" w15:tentative="1">
      <w:start w:val="1"/>
      <w:numFmt w:val="decimal"/>
      <w:lvlText w:val="%1."/>
      <w:lvlJc w:val="left"/>
      <w:pPr>
        <w:ind w:left="576" w:hanging="576"/>
      </w:pPr>
    </w:lvl>
  </w:abstractNum>
  <w:abstractNum w:abstractNumId="9" w15:restartNumberingAfterBreak="0">
    <w:multiLevelType w:val="hybridMultilevel"/>
    <w:lvl w:ilvl="0" w15:tentative="1">
      <w:start w:val="1"/>
      <w:numFmt w:val="lowerLetter"/>
      <w:lvlText w:val="(%1)"/>
      <w:lvlJc w:val="left"/>
      <w:pPr>
        <w:ind w:left="1440" w:hanging="648"/>
      </w:pPr>
    </w:lvl>
  </w:abstractNum>
  <w:abstractNum w:abstractNumId="10" w15:restartNumberingAfterBreak="0">
    <w:multiLevelType w:val="hybridMultilevel"/>
    <w:lvl w:ilvl="0" w15:tentative="1">
      <w:start w:val="1"/>
      <w:numFmt w:val="lowerLetter"/>
      <w:lvlText w:val="(%1)"/>
      <w:lvlJc w:val="left"/>
      <w:pPr>
        <w:ind w:left="1440" w:hanging="648"/>
      </w:pPr>
    </w:lvl>
  </w:abstractNum>
  <w:abstractNum w:abstractNumId="11" w15:restartNumberingAfterBreak="0">
    <w:multiLevelType w:val="hybridMultilevel"/>
    <w:lvl w:ilvl="0" w15:tentative="1">
      <w:start w:val="1"/>
      <w:numFmt w:val="lowerLetter"/>
      <w:lvlText w:val="(%1)"/>
      <w:lvlJc w:val="left"/>
      <w:pPr>
        <w:ind w:left="1440" w:hanging="648"/>
      </w:pPr>
    </w:lvl>
  </w:abstractNum>
  <w:abstractNum w:abstractNumId="12" w15:restartNumberingAfterBreak="0">
    <w:multiLevelType w:val="hybridMultilevel"/>
    <w:lvl w:ilvl="0" w15:tentative="1">
      <w:start w:val="1"/>
      <w:numFmt w:val="lowerRoman"/>
      <w:lvlText w:val="(%1)"/>
      <w:lvlJc w:val="left"/>
      <w:pPr>
        <w:ind w:left="2304" w:hanging="720"/>
      </w:pPr>
    </w:lvl>
  </w:abstractNum>
  <w:abstractNum w:abstractNumId="13" w15:restartNumberingAfterBreak="0">
    <w:multiLevelType w:val="hybridMultilevel"/>
    <w:lvl w:ilvl="0" w15:tentative="1">
      <w:start w:val="1"/>
      <w:numFmt w:val="lowerLetter"/>
      <w:lvlText w:val="(%1)"/>
      <w:lvlJc w:val="left"/>
      <w:pPr>
        <w:ind w:left="1440" w:hanging="648"/>
      </w:pPr>
    </w:lvl>
  </w:abstractNum>
  <w:abstractNum w:abstractNumId="14" w15:restartNumberingAfterBreak="0">
    <w:multiLevelType w:val="hybridMultilevel"/>
    <w:lvl w:ilvl="0" w15:tentative="1">
      <w:start w:val="1"/>
      <w:numFmt w:val="lowerRoman"/>
      <w:lvlText w:val="(%1)"/>
      <w:lvlJc w:val="left"/>
      <w:pPr>
        <w:ind w:left="2304" w:hanging="720"/>
      </w:pPr>
    </w:lvl>
  </w:abstractNum>
  <w:abstractNum w:abstractNumId="15" w15:restartNumberingAfterBreak="0">
    <w:multiLevelType w:val="hybridMultilevel"/>
    <w:lvl w:ilvl="0" w15:tentative="1">
      <w:start w:val="1"/>
      <w:numFmt w:val="lowerLetter"/>
      <w:lvlText w:val="(%1)"/>
      <w:lvlJc w:val="left"/>
      <w:pPr>
        <w:ind w:left="1440" w:hanging="648"/>
      </w:pPr>
    </w:lvl>
  </w:abstractNum>
  <w:abstractNum w:abstractNumId="16" w15:restartNumberingAfterBreak="0">
    <w:multiLevelType w:val="hybridMultilevel"/>
    <w:lvl w:ilvl="0" w15:tentative="1">
      <w:start w:val="1"/>
      <w:numFmt w:val="lowerRoman"/>
      <w:lvlText w:val="(%1)"/>
      <w:lvlJc w:val="left"/>
      <w:pPr>
        <w:ind w:left="2304" w:hanging="720"/>
      </w:pPr>
    </w:lvl>
  </w:abstractNum>
  <w:abstractNum w:abstractNumId="17" w15:restartNumberingAfterBreak="0">
    <w:multiLevelType w:val="hybridMultilevel"/>
    <w:lvl w:ilvl="0" w15:tentative="1">
      <w:start w:val="1"/>
      <w:numFmt w:val="lowerLetter"/>
      <w:lvlText w:val="(%1)"/>
      <w:lvlJc w:val="left"/>
      <w:pPr>
        <w:ind w:left="1440" w:hanging="648"/>
      </w:pPr>
    </w:lvl>
  </w:abstractNum>
  <w:abstractNum w:abstractNumId="18" w15:restartNumberingAfterBreak="0">
    <w:multiLevelType w:val="hybridMultilevel"/>
    <w:lvl w:ilvl="0" w15:tentative="1">
      <w:start w:val="1"/>
      <w:numFmt w:val="lowerRoman"/>
      <w:lvlText w:val="(%1)"/>
      <w:lvlJc w:val="left"/>
      <w:pPr>
        <w:ind w:left="2304" w:hanging="720"/>
      </w:pPr>
    </w:lvl>
  </w:abstractNum>
  <w:abstractNum w:abstractNumId="19" w15:restartNumberingAfterBreak="0">
    <w:multiLevelType w:val="hybridMultilevel"/>
    <w:lvl w:ilvl="0" w15:tentative="1">
      <w:start w:val="1"/>
      <w:numFmt w:val="lowerLetter"/>
      <w:lvlText w:val="(%1)"/>
      <w:lvlJc w:val="left"/>
      <w:pPr>
        <w:ind w:left="1440" w:hanging="648"/>
      </w:pPr>
    </w:lvl>
  </w:abstractNum>
  <w:abstractNum w:abstractNumId="20" w15:restartNumberingAfterBreak="0">
    <w:multiLevelType w:val="hybridMultilevel"/>
    <w:lvl w:ilvl="0" w15:tentative="1">
      <w:start w:val="1"/>
      <w:numFmt w:val="lowerRoman"/>
      <w:lvlText w:val="(%1)"/>
      <w:lvlJc w:val="left"/>
      <w:pPr>
        <w:ind w:left="2304" w:hanging="720"/>
      </w:pPr>
    </w:lvl>
  </w:abstractNum>
  <w:abstractNum w:abstractNumId="21" w15:restartNumberingAfterBreak="0">
    <w:multiLevelType w:val="hybridMultilevel"/>
    <w:lvl w:ilvl="0" w15:tentative="1">
      <w:start w:val="1"/>
      <w:numFmt w:val="lowerLetter"/>
      <w:lvlText w:val="(%1)"/>
      <w:lvlJc w:val="left"/>
      <w:pPr>
        <w:ind w:left="1440" w:hanging="648"/>
      </w:pPr>
    </w:lvl>
  </w:abstractNum>
  <w:abstractNum w:abstractNumId="22" w15:restartNumberingAfterBreak="0">
    <w:multiLevelType w:val="hybridMultilevel"/>
    <w:lvl w:ilvl="0" w15:tentative="1">
      <w:start w:val="1"/>
      <w:numFmt w:val="lowerRoman"/>
      <w:lvlText w:val="(%1)"/>
      <w:lvlJc w:val="left"/>
      <w:pPr>
        <w:ind w:left="2304" w:hanging="720"/>
      </w:pPr>
    </w:lvl>
  </w:abstractNum>
  <w:abstractNum w:abstractNumId="23" w15:restartNumberingAfterBreak="0">
    <w:multiLevelType w:val="hybridMultilevel"/>
    <w:lvl w:ilvl="0" w15:tentative="1">
      <w:start w:val="1"/>
      <w:numFmt w:val="lowerLetter"/>
      <w:lvlText w:val="(%1)"/>
      <w:lvlJc w:val="left"/>
      <w:pPr>
        <w:ind w:left="1440" w:hanging="648"/>
      </w:pPr>
    </w:lvl>
  </w:abstractNum>
  <w:abstractNum w:abstractNumId="24" w15:restartNumberingAfterBreak="0">
    <w:multiLevelType w:val="hybridMultilevel"/>
    <w:lvl w:ilvl="0" w15:tentative="1">
      <w:start w:val="1"/>
      <w:numFmt w:val="lowerRoman"/>
      <w:lvlText w:val="(%1)"/>
      <w:lvlJc w:val="left"/>
      <w:pPr>
        <w:ind w:left="2304" w:hanging="720"/>
      </w:pPr>
    </w:lvl>
  </w:abstractNum>
  <w:abstractNum w:abstractNumId="25" w15:restartNumberingAfterBreak="0">
    <w:multiLevelType w:val="hybridMultilevel"/>
    <w:lvl w:ilvl="0" w15:tentative="1">
      <w:start w:val="1"/>
      <w:numFmt w:val="lowerLetter"/>
      <w:lvlText w:val="(%1)"/>
      <w:lvlJc w:val="left"/>
      <w:pPr>
        <w:ind w:left="1440" w:hanging="648"/>
      </w:pPr>
    </w:lvl>
  </w:abstractNum>
  <w:abstractNum w:abstractNumId="26" w15:restartNumberingAfterBreak="0">
    <w:multiLevelType w:val="hybridMultilevel"/>
    <w:lvl w:ilvl="0" w15:tentative="1">
      <w:start w:val="1"/>
      <w:numFmt w:val="lowerRoman"/>
      <w:lvlText w:val="(%1)"/>
      <w:lvlJc w:val="left"/>
      <w:pPr>
        <w:ind w:left="2304" w:hanging="720"/>
      </w:pPr>
    </w:lvl>
  </w:abstractNum>
  <w:abstractNum w:abstractNumId="27" w15:restartNumberingAfterBreak="0">
    <w:multiLevelType w:val="hybridMultilevel"/>
    <w:lvl w:ilvl="0" w15:tentative="1">
      <w:start w:val="1"/>
      <w:numFmt w:val="lowerLetter"/>
      <w:lvlText w:val="(%1)"/>
      <w:lvlJc w:val="left"/>
      <w:pPr>
        <w:ind w:left="1440" w:hanging="648"/>
      </w:pPr>
    </w:lvl>
  </w:abstractNum>
  <w:abstractNum w:abstractNumId="28" w15:restartNumberingAfterBreak="0">
    <w:multiLevelType w:val="hybridMultilevel"/>
    <w:lvl w:ilvl="0" w15:tentative="1">
      <w:start w:val="1"/>
      <w:numFmt w:val="lowerRoman"/>
      <w:lvlText w:val="(%1)"/>
      <w:lvlJc w:val="left"/>
      <w:pPr>
        <w:ind w:left="2304" w:hanging="720"/>
      </w:pPr>
    </w:lvl>
  </w:abstractNum>
  <w:abstractNum w:abstractNumId="29" w15:restartNumberingAfterBreak="0">
    <w:multiLevelType w:val="hybridMultilevel"/>
    <w:lvl w:ilvl="0" w15:tentative="1">
      <w:start w:val="1"/>
      <w:numFmt w:val="lowerLetter"/>
      <w:lvlText w:val="(%1)"/>
      <w:lvlJc w:val="left"/>
      <w:pPr>
        <w:ind w:left="1440" w:hanging="648"/>
      </w:pPr>
    </w:lvl>
  </w:abstractNum>
  <w:abstractNum w:abstractNumId="30" w15:restartNumberingAfterBreak="0">
    <w:multiLevelType w:val="hybridMultilevel"/>
    <w:lvl w:ilvl="0" w15:tentative="1">
      <w:start w:val="1"/>
      <w:numFmt w:val="lowerRoman"/>
      <w:lvlText w:val="(%1)"/>
      <w:lvlJc w:val="left"/>
      <w:pPr>
        <w:ind w:left="2304" w:hanging="720"/>
      </w:pPr>
    </w:lvl>
  </w:abstractNum>
  <w:abstractNum w:abstractNumId="31" w15:restartNumberingAfterBreak="0">
    <w:multiLevelType w:val="hybridMultilevel"/>
    <w:lvl w:ilvl="0" w15:tentative="1">
      <w:start w:val="1"/>
      <w:numFmt w:val="lowerLetter"/>
      <w:lvlText w:val="(%1)"/>
      <w:lvlJc w:val="left"/>
      <w:pPr>
        <w:ind w:left="1440" w:hanging="648"/>
      </w:pPr>
    </w:lvl>
  </w:abstractNum>
  <w:abstractNum w:abstractNumId="32" w15:restartNumberingAfterBreak="0">
    <w:multiLevelType w:val="hybridMultilevel"/>
    <w:lvl w:ilvl="0" w15:tentative="1">
      <w:start w:val="1"/>
      <w:numFmt w:val="lowerRoman"/>
      <w:lvlText w:val="(%1)"/>
      <w:lvlJc w:val="left"/>
      <w:pPr>
        <w:ind w:left="2304" w:hanging="720"/>
      </w:pPr>
    </w:lvl>
  </w:abstractNum>
  <w:abstractNum w:abstractNumId="33" w15:restartNumberingAfterBreak="0">
    <w:multiLevelType w:val="hybridMultilevel"/>
    <w:lvl w:ilvl="0" w15:tentative="1">
      <w:start w:val="1"/>
      <w:numFmt w:val="lowerLetter"/>
      <w:lvlText w:val="(%1)"/>
      <w:lvlJc w:val="left"/>
      <w:pPr>
        <w:ind w:left="1440" w:hanging="648"/>
      </w:pPr>
    </w:lvl>
  </w:abstractNum>
  <w:abstractNum w:abstractNumId="34" w15:restartNumberingAfterBreak="0">
    <w:multiLevelType w:val="hybridMultilevel"/>
    <w:lvl w:ilvl="0" w15:tentative="1">
      <w:start w:val="1"/>
      <w:numFmt w:val="lowerRoman"/>
      <w:lvlText w:val="(%1)"/>
      <w:lvlJc w:val="left"/>
      <w:pPr>
        <w:ind w:left="2304" w:hanging="720"/>
      </w:pPr>
    </w:lvl>
  </w:abstractNum>
  <w:abstractNum w:abstractNumId="35" w15:restartNumberingAfterBreak="0">
    <w:multiLevelType w:val="hybridMultilevel"/>
    <w:lvl w:ilvl="0" w15:tentative="1">
      <w:start w:val="1"/>
      <w:numFmt w:val="lowerLetter"/>
      <w:lvlText w:val="(%1)"/>
      <w:lvlJc w:val="left"/>
      <w:pPr>
        <w:ind w:left="1440" w:hanging="648"/>
      </w:pPr>
    </w:lvl>
  </w:abstractNum>
  <w:abstractNum w:abstractNumId="36" w15:restartNumberingAfterBreak="0">
    <w:multiLevelType w:val="hybridMultilevel"/>
    <w:lvl w:ilvl="0" w15:tentative="1">
      <w:start w:val="1"/>
      <w:numFmt w:val="lowerRoman"/>
      <w:lvlText w:val="(%1)"/>
      <w:lvlJc w:val="left"/>
      <w:pPr>
        <w:ind w:left="2304" w:hanging="7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24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2026-09-02T15:54:37.728Z</dcterms:created>
  <dcterms:modified xsi:type="dcterms:W3CDTF">2026-09-02T15:54:37.728Z</dcterms:modified>
</cp:coreProperties>
</file>

<file path=docProps/custom.xml><?xml version="1.0" encoding="utf-8"?>
<Properties xmlns="http://schemas.openxmlformats.org/officeDocument/2006/custom-properties" xmlns:vt="http://schemas.openxmlformats.org/officeDocument/2006/docPropsVTypes"/>
</file>