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b/>
          <w:bCs/>
          <w:sz w:val="24"/>
          <w:szCs w:val="24"/>
        </w:rPr>
        <w:t xml:space="preserve">SRQ RESOURCES INC.</w:t>
      </w:r>
    </w:p>
    <w:p>
      <w:pPr>
        <w:spacing w:after="360"/>
        <w:jc w:val="center"/>
      </w:pPr>
      <w:r>
        <w:rPr>
          <w:b/>
          <w:bCs/>
          <w:sz w:val="24"/>
          <w:szCs w:val="24"/>
          <w:u w:val="single"/>
        </w:rPr>
        <w:t xml:space="preserve">Code de conduite et d'éthique des affaires</w:t>
      </w:r>
    </w:p>
    <w:p>
      <w:pPr>
        <w:spacing w:after="160" w:before="240"/>
      </w:pPr>
      <w:r>
        <w:rPr>
          <w:b/>
          <w:bCs/>
          <w:caps/>
          <w:sz w:val="24"/>
          <w:szCs w:val="24"/>
        </w:rPr>
        <w:t xml:space="preserve">Introduction</w:t>
      </w:r>
    </w:p>
    <w:p>
      <w:pPr>
        <w:spacing w:after="240"/>
        <w:jc w:val="both"/>
      </w:pPr>
      <w:r>
        <w:rPr>
          <w:sz w:val="24"/>
          <w:szCs w:val="24"/>
        </w:rPr>
        <w:t xml:space="preserve">Le présent Code de conduite et d’éthique des affaires (le « Code ») traduit l’engagement de SRQ Resources Inc. (la « Société ») à exercer ses activités conformément à l’ensemble des lois, règles et règlements applicables, en respectant des normes éthiques élevées, dans une culture d’honnêteté, d’intégrité et de responsabilité. Tous les dirigeants, employés, consultants et administrateurs (individuellement, une « Personne » et collectivement, les « Personnes ») sont tenus de lire le présent Code, d’en respecter les principes et les procédures et de faire preuve en tout temps de leur meilleur jugement. Le présent Code est distinct et indépendant de toute politique que la Société peut adopter, à l’occasion, à l’égard de ses employés, dirigeants et administrateurs, et s’y ajoute. Dans le présent Code, la mention de la Société vise la Société et l’une quelconque de ses filiales.</w:t>
      </w:r>
    </w:p>
    <w:p>
      <w:pPr>
        <w:spacing w:after="240"/>
        <w:jc w:val="both"/>
      </w:pPr>
      <w:r>
        <w:rPr>
          <w:sz w:val="24"/>
          <w:szCs w:val="24"/>
        </w:rPr>
        <w:t xml:space="preserve">Le présent Code sera revu périodiquement par le conseil d’administration de la Société et complété au besoin, à l’occasion.</w:t>
      </w:r>
    </w:p>
    <w:p>
      <w:pPr>
        <w:spacing w:after="160" w:before="240"/>
      </w:pPr>
      <w:r>
        <w:rPr>
          <w:b/>
          <w:bCs/>
          <w:caps/>
          <w:sz w:val="24"/>
          <w:szCs w:val="24"/>
        </w:rPr>
        <w:t xml:space="preserve">Dispositions du Code</w:t>
      </w:r>
    </w:p>
    <w:p>
      <w:pPr>
        <w:spacing w:after="240"/>
        <w:jc w:val="both"/>
      </w:pPr>
      <w:r>
        <w:rPr>
          <w:sz w:val="24"/>
          <w:szCs w:val="24"/>
        </w:rPr>
        <w:t xml:space="preserve">Le présent Code vise à promouvoir l’intégrité, à prévenir les actes répréhensibles et à favoriser l’atteinte des objectifs suivants :</w:t>
      </w:r>
    </w:p>
    <w:p>
      <w:pPr>
        <w:spacing w:after="140" w:before="200"/>
      </w:pPr>
      <w:r>
        <w:rPr>
          <w:b/>
          <w:bCs/>
          <w:sz w:val="24"/>
          <w:szCs w:val="24"/>
        </w:rPr>
        <w:t xml:space="preserve">1. Respect des lois, des règles et des règlements</w:t>
      </w:r>
    </w:p>
    <w:p>
      <w:pPr>
        <w:spacing w:after="240"/>
        <w:jc w:val="both"/>
      </w:pPr>
      <w:r>
        <w:rPr>
          <w:sz w:val="24"/>
          <w:szCs w:val="24"/>
        </w:rPr>
        <w:t xml:space="preserve">Chaque Personne qui participe aux activités de la Société a la responsabilité de connaître l’ensemble des limites légales applicables et de se conformer à toutes les lois et à tous les règlements en cause. Le respect de la lettre et de l’esprit de l’ensemble des lois, règles et règlements applicables aux activités de la Société est important pour sa réputation et pour la poursuite de son succès. Chaque Personne doit respecter les lois des villes, provinces, États et pays où la Société exerce ses activités et éviter jusqu’à l’apparence d’irrégularité. Les Personnes qui ne se conforment pas au présent Code et aux lois applicables feront l’objet de mesures disciplinaires pouvant aller jusqu’au congédiement.</w:t>
      </w:r>
    </w:p>
    <w:p>
      <w:pPr>
        <w:spacing w:after="240"/>
        <w:jc w:val="both"/>
      </w:pPr>
      <w:r>
        <w:rPr>
          <w:sz w:val="24"/>
          <w:szCs w:val="24"/>
        </w:rPr>
        <w:t xml:space="preserve">La Société a la responsabilité de s’assurer d’avoir obtenu tous les permis nécessaires et appropriés auprès du comté, de l’État, de la province et du pays concernés pour exercer les activités qu’elle a planifiées ou définies. Dès la réception du permis et à l’arrivée de chaque nouvelle Personne affectée au projet, le chargé de projet devrait passer en revue le permis et ses conditions avec chaque Personne affectée au projet, de sorte que chacune dispose de l’information nécessaire pour s’assurer que ses activités sont conformes aux conditions du permis visant le projet.</w:t>
      </w:r>
    </w:p>
    <w:p>
      <w:pPr>
        <w:spacing w:after="140" w:before="200"/>
      </w:pPr>
      <w:r>
        <w:rPr>
          <w:b/>
          <w:bCs/>
          <w:sz w:val="24"/>
          <w:szCs w:val="24"/>
        </w:rPr>
        <w:t xml:space="preserve">2. Prévention des conflits d'intérêts</w:t>
      </w:r>
    </w:p>
    <w:p>
      <w:pPr>
        <w:spacing w:after="240"/>
        <w:jc w:val="both"/>
      </w:pPr>
      <w:r>
        <w:rPr>
          <w:sz w:val="24"/>
          <w:szCs w:val="24"/>
        </w:rPr>
        <w:t xml:space="preserve">Il y a conflit d’intérêts lorsque les intérêts personnels d’une Personne entrent en conflit, ou semblent entrer en conflit, de quelque manière que ce soit, avec les intérêts de la Société. Un conflit d’intérêts peut survenir lorsque :</w:t>
      </w:r>
    </w:p>
    <w:p>
      <w:pPr>
        <w:pStyle w:val="ListParagraph"/>
        <w:numPr>
          <w:ilvl w:val="0"/>
          <w:numId w:val="2"/>
        </w:numPr>
        <w:spacing w:after="60"/>
        <w:jc w:val="both"/>
      </w:pPr>
      <w:r>
        <w:rPr>
          <w:sz w:val="24"/>
          <w:szCs w:val="24"/>
        </w:rPr>
        <w:t xml:space="preserve">une Personne pose un geste à son avantage direct ou indirect, ou à l’avantage direct ou indirect d’un tiers, qui est incompatible avec les intérêts de la Société; ou</w:t>
      </w:r>
    </w:p>
    <w:p>
      <w:pPr>
        <w:pStyle w:val="ListParagraph"/>
        <w:numPr>
          <w:ilvl w:val="0"/>
          <w:numId w:val="2"/>
        </w:numPr>
        <w:spacing w:after="60"/>
        <w:jc w:val="both"/>
      </w:pPr>
      <w:r>
        <w:rPr>
          <w:sz w:val="24"/>
          <w:szCs w:val="24"/>
        </w:rPr>
        <w:t xml:space="preserve">une Personne, ou un membre de sa famille, retire un avantage personnel indu du fait de son poste au sein de la Société.</w:t>
      </w:r>
    </w:p>
    <w:p>
      <w:pPr>
        <w:spacing w:after="240"/>
        <w:jc w:val="both"/>
      </w:pPr>
      <w:r>
        <w:rPr>
          <w:sz w:val="24"/>
          <w:szCs w:val="24"/>
        </w:rPr>
        <w:t xml:space="preserve">Les activités susceptibles de donner lieu à des conflits d’intérêts sont interdites, à moins d’avoir été expressément approuvées au préalable par le conseil d’administration de la Société. Lorsqu’un conflit met en cause un membre du conseil (c’est-à-dire lorsqu’un membre du conseil a un intérêt dans un contrat important ou une opération importante mettant en cause la Société), le membre du conseil concerné devra divulguer son intérêt au conseil, s’absenter de la discussion et s’abstenir de voter sur cette question lors de la réunion du conseil de la Société où le contrat ou l’opération est examiné, conformément à la loi applicable.</w:t>
      </w:r>
    </w:p>
    <w:p>
      <w:pPr>
        <w:spacing w:after="240"/>
        <w:jc w:val="both"/>
      </w:pPr>
      <w:r>
        <w:rPr>
          <w:sz w:val="24"/>
          <w:szCs w:val="24"/>
        </w:rPr>
        <w:t xml:space="preserve">Il n’est pas toujours facile de déterminer s’il existe un conflit d’intérêts; tout conflit d’intérêts potentiel doit donc être signalé sans délai à un membre de la haute direction qui est indépendant du conflit potentiel et qui évaluera la question avec l’assistance d’un conseiller juridique. Dans le cas de conflits potentiels non résolus mettant en cause un employé, ou lorsqu’un membre de la haute direction ou un membre du conseil est en situation de conflit potentiel, la question doit être renvoyée au conseil d’administration de la Société (assisté au besoin d’un conseiller juridique).</w:t>
      </w:r>
    </w:p>
    <w:p>
      <w:pPr>
        <w:spacing w:after="240"/>
        <w:jc w:val="both"/>
      </w:pPr>
      <w:r>
        <w:rPr>
          <w:sz w:val="24"/>
          <w:szCs w:val="24"/>
        </w:rPr>
        <w:t xml:space="preserve">Toutes les Personnes doivent éviter en tout temps les situations où leur intérêt personnel, financier ou autre, pourrait entrer en conflit, ou même sembler entrer en conflit, avec les intérêts de la Société et de ses actionnaires.</w:t>
      </w:r>
    </w:p>
    <w:p>
      <w:pPr>
        <w:spacing w:after="140" w:before="200"/>
      </w:pPr>
      <w:r>
        <w:rPr>
          <w:b/>
          <w:bCs/>
          <w:sz w:val="24"/>
          <w:szCs w:val="24"/>
        </w:rPr>
        <w:t xml:space="preserve">3. Confidentialité de l'information de la Société</w:t>
      </w:r>
    </w:p>
    <w:p>
      <w:pPr>
        <w:spacing w:after="240"/>
        <w:jc w:val="both"/>
      </w:pPr>
      <w:r>
        <w:rPr>
          <w:sz w:val="24"/>
          <w:szCs w:val="24"/>
        </w:rPr>
        <w:t xml:space="preserve">De nombreuses Personnes ont accès à de l’information sur la Société ou sur le personnel qui est de nature délicate ou confidentielle. L’information telle que les dossiers du personnel, les registres de paie, les stratégies d’affaires et l’information financière et concurrentielle est confidentielle et, dans certains cas, protégée par les lois sur la protection des renseignements personnels. La divulgation d’une telle information est susceptible de nuire à la Société et à ses employés. Dans certains cas, elle est illégale.</w:t>
      </w:r>
    </w:p>
    <w:p>
      <w:pPr>
        <w:spacing w:after="240"/>
        <w:jc w:val="both"/>
      </w:pPr>
      <w:r>
        <w:rPr>
          <w:sz w:val="24"/>
          <w:szCs w:val="24"/>
        </w:rPr>
        <w:t xml:space="preserve">Les Personnes doivent faire preuve d’une extrême prudence dans le traitement de l’information confidentielle, personnelle ou de nature délicate. Une telle information ne doit pas être communiquée à quiconque, à l’intérieur ou à l’extérieur de la Société, qui n’est pas autorisé ou légalement habilité à la recevoir, et ne doit être utilisée ou divulguée pour aucun motif autre que des fins d’affaires légitimes.</w:t>
      </w:r>
    </w:p>
    <w:p>
      <w:pPr>
        <w:spacing w:after="240"/>
        <w:jc w:val="both"/>
      </w:pPr>
      <w:r>
        <w:rPr>
          <w:sz w:val="24"/>
          <w:szCs w:val="24"/>
        </w:rPr>
        <w:t xml:space="preserve">Il faut prendre soin de ne pas discuter d’information confidentielle, personnelle ou de nature délicate dans des rencontres sociales ou publiques.</w:t>
      </w:r>
    </w:p>
    <w:p>
      <w:pPr>
        <w:spacing w:after="140" w:before="200"/>
      </w:pPr>
      <w:r>
        <w:rPr>
          <w:b/>
          <w:bCs/>
          <w:sz w:val="24"/>
          <w:szCs w:val="24"/>
        </w:rPr>
        <w:t xml:space="preserve">4. Protection et utilisation appropriée des biens de la Société</w:t>
      </w:r>
    </w:p>
    <w:p>
      <w:pPr>
        <w:spacing w:after="240"/>
        <w:jc w:val="both"/>
      </w:pPr>
      <w:r>
        <w:rPr>
          <w:sz w:val="24"/>
          <w:szCs w:val="24"/>
        </w:rPr>
        <w:t xml:space="preserve">Chaque Personne doit s’efforcer de protéger les biens de la Société et d’en assurer l’utilisation efficiente. Le vol, la négligence et le gaspillage ont une incidence directe sur la rentabilité de la Société. Tout incident présumé de fraude ou de vol doit être signalé sans délai au supérieur de la Personne ou à un membre de la haute direction aux fins d’enquête.</w:t>
      </w:r>
    </w:p>
    <w:p>
      <w:pPr>
        <w:spacing w:after="240"/>
        <w:jc w:val="both"/>
      </w:pPr>
      <w:r>
        <w:rPr>
          <w:sz w:val="24"/>
          <w:szCs w:val="24"/>
        </w:rPr>
        <w:t xml:space="preserve">Les biens de la Société, tels que les fonds, les produits ou les ordinateurs, ne peuvent être utilisés qu’à des fins d’affaires légitimes ou à d’autres fins approuvées par la direction. Les biens de la Société ne peuvent jamais être utilisés à des fins illégales.</w:t>
      </w:r>
    </w:p>
    <w:p>
      <w:pPr>
        <w:spacing w:after="240"/>
        <w:jc w:val="both"/>
      </w:pPr>
      <w:r>
        <w:rPr>
          <w:sz w:val="24"/>
          <w:szCs w:val="24"/>
        </w:rPr>
        <w:t xml:space="preserve">L’obligation de protéger les biens de la Société vise également l’information exclusive. L’information exclusive comprend toute information qui n’est pas généralement connue du public ou qui serait utile aux concurrents de la Société. La propriété intellectuelle, les plans d’affaires et de commercialisation et les renseignements sur les employés en sont des exemples. L’obligation de préserver l’information exclusive subsiste même après le départ d’une Personne de la Société.</w:t>
      </w:r>
    </w:p>
    <w:p>
      <w:pPr>
        <w:spacing w:after="140" w:before="200"/>
      </w:pPr>
      <w:r>
        <w:rPr>
          <w:b/>
          <w:bCs/>
          <w:sz w:val="24"/>
          <w:szCs w:val="24"/>
        </w:rPr>
        <w:t xml:space="preserve">5. Opérations d'initiés</w:t>
      </w:r>
    </w:p>
    <w:p>
      <w:pPr>
        <w:spacing w:after="240"/>
        <w:jc w:val="both"/>
      </w:pPr>
      <w:r>
        <w:rPr>
          <w:sz w:val="24"/>
          <w:szCs w:val="24"/>
        </w:rPr>
        <w:t xml:space="preserve">Les opérations d’initiés sont contraires à l’éthique et illégales. Aucune Personne n’est autorisée à effectuer des opérations sur les titres d’une société alors qu’elle est en possession d’information importante non publique concernant cette société. Cela vise la Société comme toute autre société. Il est également illégal de « tuyauter » ou de transmettre de l’information privilégiée à toute autre personne qui pourrait prendre une décision de placement fondée sur cette information ou la transmettre à son tour. La Politique sur les opérations d’initiés et les périodes d’interdiction d’opérations de la Société énonce les obligations des Personnes à l’égard des opérations sur les titres de la Société.</w:t>
      </w:r>
    </w:p>
    <w:p>
      <w:pPr>
        <w:spacing w:after="240"/>
        <w:jc w:val="both"/>
      </w:pPr>
      <w:r>
        <w:rPr>
          <w:sz w:val="24"/>
          <w:szCs w:val="24"/>
        </w:rPr>
        <w:t xml:space="preserve">La Société imposera des périodes d’interdiction d’opérations lorsque le président et chef de la direction ou le secrétaire de la Société le jugera nécessaire. Toutefois, même en l’absence d’une interdiction d’opérations, il incombe à chaque personne de veiller à ne pas contrevenir aux règles relatives aux opérations d’initiés.</w:t>
      </w:r>
    </w:p>
    <w:p>
      <w:pPr>
        <w:spacing w:after="140" w:before="200"/>
      </w:pPr>
      <w:r>
        <w:rPr>
          <w:b/>
          <w:bCs/>
          <w:sz w:val="24"/>
          <w:szCs w:val="24"/>
        </w:rPr>
        <w:t xml:space="preserve">6. Traitement équitable</w:t>
      </w:r>
    </w:p>
    <w:p>
      <w:pPr>
        <w:spacing w:after="240"/>
        <w:jc w:val="both"/>
      </w:pPr>
      <w:r>
        <w:rPr>
          <w:sz w:val="24"/>
          <w:szCs w:val="24"/>
        </w:rPr>
        <w:t xml:space="preserve">Toutes les Personnes doivent traiter avec équité et respect celles avec qui elles font affaire et se montrer honnêtes envers la Société et les personnes à son emploi, ses fournisseurs, ses parties prenantes, les gouvernements et les représentants publics ainsi que les membres des collectivités où elle exerce ses activités.</w:t>
      </w:r>
    </w:p>
    <w:p>
      <w:pPr>
        <w:spacing w:after="240"/>
        <w:jc w:val="both"/>
      </w:pPr>
      <w:r>
        <w:rPr>
          <w:sz w:val="24"/>
          <w:szCs w:val="24"/>
        </w:rPr>
        <w:t xml:space="preserve">Toutes les Personnes doivent s’abstenir de dénigrer les concurrents, ne doivent pas chercher à obtenir de manière inappropriée l’information confidentielle d’un concurrent, ni tirer un avantage indu ou illégal d’autrui dans leurs relations d’affaires.</w:t>
      </w:r>
    </w:p>
    <w:p>
      <w:pPr>
        <w:spacing w:after="140" w:before="200"/>
      </w:pPr>
      <w:r>
        <w:rPr>
          <w:b/>
          <w:bCs/>
          <w:sz w:val="24"/>
          <w:szCs w:val="24"/>
        </w:rPr>
        <w:t xml:space="preserve">7. Intégrité des livres et des rapports financiers</w:t>
      </w:r>
    </w:p>
    <w:p>
      <w:pPr>
        <w:spacing w:after="240"/>
        <w:jc w:val="both"/>
      </w:pPr>
      <w:r>
        <w:rPr>
          <w:sz w:val="24"/>
          <w:szCs w:val="24"/>
        </w:rPr>
        <w:t xml:space="preserve">Il est d’une importance capitale que les documents déposés par la Société auprès des autorités de réglementation compétentes soient exacts et déposés en temps opportun. Selon le poste qu’elle occupe au sein de la Société, une Personne peut être appelée à fournir l’information nécessaire pour que les rapports publics de la Société soient complets, équilibrés et compréhensibles. La Société s’attend à ce que toutes les Personnes prennent cette responsabilité très au sérieux et fournissent des réponses rapides et exactes aux demandes liées aux obligations d’information continue de la Société.</w:t>
      </w:r>
    </w:p>
    <w:p>
      <w:pPr>
        <w:spacing w:after="240"/>
        <w:jc w:val="both"/>
      </w:pPr>
      <w:r>
        <w:rPr>
          <w:sz w:val="24"/>
          <w:szCs w:val="24"/>
        </w:rPr>
        <w:t xml:space="preserve">L’intégrité des systèmes de tenue de livres de la Société sera respectée en tout temps. Il est interdit à toutes les Personnes d’utiliser, d’autoriser ou de tolérer l’utilisation d’une comptabilité parallèle, de comptes secrets, de comptes bancaires non comptabilisés, de caisses noires, de livres falsifiés ou de tout autre procédé pouvant servir à fausser les livres ou les rapports rendant compte des résultats d’exploitation et de la situation financière réels de la Société, ou pouvant autrement entraîner la comptabilisation inappropriée de fonds ou d’opérations.</w:t>
      </w:r>
    </w:p>
    <w:p>
      <w:pPr>
        <w:spacing w:after="140" w:before="200"/>
      </w:pPr>
      <w:r>
        <w:rPr>
          <w:b/>
          <w:bCs/>
          <w:sz w:val="24"/>
          <w:szCs w:val="24"/>
        </w:rPr>
        <w:t xml:space="preserve">8. Signalement de tout comportement illégal ou contraire à l'éthique</w:t>
      </w:r>
    </w:p>
    <w:p>
      <w:pPr>
        <w:spacing w:after="240"/>
        <w:jc w:val="both"/>
      </w:pPr>
      <w:r>
        <w:rPr>
          <w:sz w:val="24"/>
          <w:szCs w:val="24"/>
        </w:rPr>
        <w:t xml:space="preserve">Chaque Personne devrait s’efforcer de déceler et de soulever les problèmes potentiels avant qu’ils ne dégénèrent, et devrait s’informer de l’application du présent Code chaque fois qu’elle a un doute. Toute Personne qui prend connaissance d’une contravention réelle ou potentielle au présent Code doit en aviser sans délai un membre du conseil d’administration de la Société. Par l’entremise de son conseil, la Société prendra les mesures disciplinaires ou préventives qu’elle juge appropriées à l’égard de toute contravention réelle ou potentielle au présent Code portée à son attention.</w:t>
      </w:r>
    </w:p>
    <w:p>
      <w:pPr>
        <w:spacing w:after="240"/>
        <w:jc w:val="both"/>
      </w:pPr>
      <w:r>
        <w:rPr>
          <w:sz w:val="24"/>
          <w:szCs w:val="24"/>
        </w:rPr>
        <w:t xml:space="preserve">L’exercice de représailles, sous quelque forme que ce soit, contre une Personne qui signale de bonne foi une contravention au présent Code ou à la loi, ou qui collabore à l’enquête sur la contravention signalée, constitue en soi une contravention grave au présent Code. Les actes de représailles doivent être signalés sans délai à un membre du conseil d’administration de la Société.</w:t>
      </w:r>
    </w:p>
    <w:p>
      <w:pPr>
        <w:spacing w:after="140" w:before="200"/>
      </w:pPr>
      <w:r>
        <w:rPr>
          <w:b/>
          <w:bCs/>
          <w:sz w:val="24"/>
          <w:szCs w:val="24"/>
        </w:rPr>
        <w:t xml:space="preserve">9. Santé, sécurité et protection de l'environnement</w:t>
      </w:r>
    </w:p>
    <w:p>
      <w:pPr>
        <w:spacing w:after="240"/>
        <w:jc w:val="both"/>
      </w:pPr>
      <w:r>
        <w:rPr>
          <w:sz w:val="24"/>
          <w:szCs w:val="24"/>
        </w:rPr>
        <w:t xml:space="preserve">La Société a pour politique d’accorder l’attention voulue à la santé et à la sécurité de ses Personnes et d’autrui, ainsi qu’à l’état de l’environnement. Des lois fédérales, provinciales, étatiques et locales en matière de sécurité au travail et d’environnement encadrent, par l’entremise de divers organismes gouvernementaux, tant la sécurité physique des Personnes que leur exposition aux conditions du milieu de travail. Si vous êtes confronté à un enjeu de santé environnementale ou si vous avez une préoccupation en matière de sécurité au travail, vous devez communiquer avec votre supérieur ou en aviser sans délai le chef de la direction de la Société.</w:t>
      </w:r>
    </w:p>
    <w:p>
      <w:pPr>
        <w:spacing w:after="240"/>
        <w:jc w:val="both"/>
      </w:pPr>
      <w:r>
        <w:rPr>
          <w:sz w:val="24"/>
          <w:szCs w:val="24"/>
        </w:rPr>
        <w:t xml:space="preserve">De nombreux pays ainsi que leurs gouvernements régionaux et locaux se sont dotés d’une législation complexe visant à protéger la santé et la sécurité de toutes les Personnes ou du public en général, à prévenir la pollution et à protéger l’environnement. Ces lois prévoient souvent des sanctions tant pour les sociétés visées que pour leur personnel. La Société a reconnu la gestion environnementale comme une priorité d’entreprise et intégrera les facteurs environnementaux au processus décisionnel dans l’ensemble de la Société et de ses filiales. Des ressources suffisantes seront consacrées à la protection de l’environnement afin que les risques environnementaux soient réduits au minimum et que l’environnement et le bien-être public soient protégés pendant les activités de la Société.</w:t>
      </w:r>
    </w:p>
    <w:p>
      <w:pPr>
        <w:spacing w:after="160" w:before="240"/>
      </w:pPr>
      <w:r>
        <w:rPr>
          <w:b/>
          <w:bCs/>
          <w:caps/>
          <w:sz w:val="24"/>
          <w:szCs w:val="24"/>
        </w:rPr>
        <w:t xml:space="preserve">Procédures de conformité</w:t>
      </w:r>
    </w:p>
    <w:p>
      <w:pPr>
        <w:spacing w:after="240"/>
        <w:jc w:val="both"/>
      </w:pPr>
      <w:r>
        <w:rPr>
          <w:sz w:val="24"/>
          <w:szCs w:val="24"/>
        </w:rPr>
        <w:t xml:space="preserve">Le présent Code ne peut pas, et ne vise pas à, traiter de toutes les situations que vous pourriez rencontrer. Il arrivera que vous soyez confronté à des circonstances qui ne sont visées par aucune politique ni procédure et à l’égard desquelles vous devrez exercer votre jugement pour déterminer la marche à suivre appropriée. Dans ces circonstances, ou si vous avez des questions concernant vos obligations aux termes du présent Code, nous vous encourageons à faire appel à votre bon sens et à communiquer avec votre supérieur ou avec le chef de la direction de la Société pour obtenir des directives.</w:t>
      </w:r>
    </w:p>
    <w:p>
      <w:pPr>
        <w:spacing w:after="240"/>
        <w:jc w:val="both"/>
      </w:pPr>
      <w:r>
        <w:rPr>
          <w:sz w:val="24"/>
          <w:szCs w:val="24"/>
        </w:rPr>
        <w:t xml:space="preserve">Si vous ne vous conformez pas au présent Code ou aux lois, règles ou règlements applicables, vous ferez l’objet de mesures disciplinaires pouvant aller jusqu’au congédiement de la Société.</w:t>
      </w:r>
    </w:p>
    <w:p>
      <w:pPr>
        <w:spacing w:after="160" w:before="240"/>
      </w:pPr>
      <w:r>
        <w:rPr>
          <w:b/>
          <w:bCs/>
          <w:caps/>
          <w:sz w:val="24"/>
          <w:szCs w:val="24"/>
        </w:rPr>
        <w:t xml:space="preserve">Modification du présent Code et dispenses</w:t>
      </w:r>
    </w:p>
    <w:p>
      <w:pPr>
        <w:spacing w:after="240"/>
        <w:jc w:val="both"/>
      </w:pPr>
      <w:r>
        <w:rPr>
          <w:sz w:val="24"/>
          <w:szCs w:val="24"/>
        </w:rPr>
        <w:t xml:space="preserve">Le présent Code peut être modifié par le conseil d’administration de la Société. Seul le conseil d’administration, ou un comité de celui-ci ayant reçu une délégation de pouvoirs expresse, peut accorder des dispenses de l’application du présent Code.</w:t>
      </w:r>
    </w:p>
    <w:p>
      <w:pPr>
        <w:spacing w:after="200"/>
      </w:pPr>
    </w:p>
    <w:p>
      <w:pPr>
        <w:spacing w:after="240"/>
        <w:jc w:val="both"/>
      </w:pPr>
      <w:r>
        <w:rPr>
          <w:i/>
          <w:iCs/>
          <w:sz w:val="24"/>
          <w:szCs w:val="24"/>
        </w:rPr>
        <w:t xml:space="preserve">Approuvé par le conseil d’administration le 8 février 2024.</w:t>
      </w:r>
    </w:p>
    <w:p>
      <w:pPr>
        <w:spacing w:after="400"/>
      </w:pPr>
    </w:p>
    <w:p>
      <w:pPr>
        <w:spacing w:after="160" w:before="240"/>
      </w:pPr>
      <w:r>
        <w:rPr>
          <w:b/>
          <w:bCs/>
          <w:caps/>
          <w:sz w:val="24"/>
          <w:szCs w:val="24"/>
        </w:rPr>
        <w:t xml:space="preserve">Accusé de réception et reconnaissance</w:t>
      </w:r>
    </w:p>
    <w:p>
      <w:pPr>
        <w:spacing w:after="240"/>
        <w:jc w:val="both"/>
      </w:pPr>
      <w:r>
        <w:rPr>
          <w:sz w:val="24"/>
          <w:szCs w:val="24"/>
        </w:rPr>
        <w:t xml:space="preserve">Je soussigné(e), ______________________________________ (nom en lettres moulées), reconnais avoir reçu et lu un exemplaire du « Code de conduite et d’éthique des affaires » et je m’engage à en respecter les modalités. Je comprends que la contravention aux lois ou règlements en matière de santé, de sécurité et d’environnement peut m’exposer à de lourdes sanctions civiles ou pénales, et que la contravention aux modalités du Code susmentionné peut m’exposer à des mesures disciplinaires de la part de la Société pouvant aller jusqu’au congédiement.</w:t>
      </w:r>
    </w:p>
    <w:p>
      <w:pPr>
        <w:tabs>
          <w:tab w:val="left" w:pos="5040"/>
        </w:tabs>
        <w:spacing w:after="0" w:before="720"/>
      </w:pPr>
      <w:r>
        <w:rPr>
          <w:sz w:val="24"/>
          <w:szCs w:val="24"/>
        </w:rPr>
        <w:t xml:space="preserve">________________________________</w:t>
      </w:r>
      <w:r>
        <w:rPr>
          <w:sz w:val="24"/>
          <w:szCs w:val="24"/>
        </w:rPr>
        <w:t xml:space="preserve">	</w:t>
      </w:r>
      <w:r>
        <w:rPr>
          <w:sz w:val="24"/>
          <w:szCs w:val="24"/>
        </w:rPr>
        <w:t xml:space="preserve">________________________________</w:t>
      </w:r>
    </w:p>
    <w:p>
      <w:pPr>
        <w:tabs>
          <w:tab w:val="left" w:pos="5040"/>
        </w:tabs>
        <w:spacing w:after="240"/>
      </w:pPr>
      <w:r>
        <w:rPr>
          <w:sz w:val="24"/>
          <w:szCs w:val="24"/>
        </w:rPr>
        <w:t xml:space="preserve">Signature</w:t>
      </w:r>
      <w:r>
        <w:rPr>
          <w:sz w:val="24"/>
          <w:szCs w:val="24"/>
        </w:rPr>
        <w:t xml:space="preserve">	</w:t>
      </w:r>
      <w:r>
        <w:rPr>
          <w:sz w:val="24"/>
          <w:szCs w:val="24"/>
        </w:rPr>
        <w:t xml:space="preserve">Date</w:t>
      </w:r>
    </w:p>
    <w:sectPr>
      <w:headerReference w:type="default" r:id="rId7"/>
      <w:headerReference w:type="first" r:id="rId8"/>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40"/>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431"/>
      </w:pPr>
    </w:lvl>
  </w:abstractNum>
  <w:abstractNum w:abstractNumId="3" w15:restartNumberingAfterBreak="0">
    <w:multiLevelType w:val="hybridMultilevel"/>
    <w:lvl w:ilvl="0" w15:tentative="1">
      <w:start w:val="1"/>
      <w:numFmt w:val="bullet"/>
      <w:lvlText w:val="◦"/>
      <w:lvlJc w:val="left"/>
      <w:pPr>
        <w:ind w:left="1080" w:hanging="431"/>
      </w:pPr>
    </w:lvl>
  </w:abstractNum>
  <w:abstractNum w:abstractNumId="4" w15:restartNumberingAfterBreak="0">
    <w:multiLevelType w:val="hybridMultilevel"/>
    <w:lvl w:ilvl="0" w15:tentative="1">
      <w:start w:val="1"/>
      <w:numFmt w:val="decimal"/>
      <w:lvlText w:val="%1."/>
      <w:lvlJc w:val="left"/>
      <w:pPr>
        <w:ind w:left="576" w:hanging="576"/>
      </w:pPr>
    </w:lvl>
  </w:abstractNum>
  <w:abstractNum w:abstractNumId="5" w15:restartNumberingAfterBreak="0">
    <w:multiLevelType w:val="hybridMultilevel"/>
    <w:lvl w:ilvl="0" w15:tentative="1">
      <w:start w:val="1"/>
      <w:numFmt w:val="decimal"/>
      <w:lvlText w:val="%1."/>
      <w:lvlJc w:val="left"/>
      <w:pPr>
        <w:ind w:left="576" w:hanging="576"/>
      </w:pPr>
    </w:lvl>
  </w:abstractNum>
  <w:abstractNum w:abstractNumId="6" w15:restartNumberingAfterBreak="0">
    <w:multiLevelType w:val="hybridMultilevel"/>
    <w:lvl w:ilvl="0" w15:tentative="1">
      <w:start w:val="1"/>
      <w:numFmt w:val="decimal"/>
      <w:lvlText w:val="%1."/>
      <w:lvlJc w:val="left"/>
      <w:pPr>
        <w:ind w:left="576" w:hanging="576"/>
      </w:pPr>
    </w:lvl>
  </w:abstractNum>
  <w:abstractNum w:abstractNumId="7" w15:restartNumberingAfterBreak="0">
    <w:multiLevelType w:val="hybridMultilevel"/>
    <w:lvl w:ilvl="0" w15:tentative="1">
      <w:start w:val="1"/>
      <w:numFmt w:val="decimal"/>
      <w:lvlText w:val="%1."/>
      <w:lvlJc w:val="left"/>
      <w:pPr>
        <w:ind w:left="576" w:hanging="576"/>
      </w:pPr>
    </w:lvl>
  </w:abstractNum>
  <w:abstractNum w:abstractNumId="8" w15:restartNumberingAfterBreak="0">
    <w:multiLevelType w:val="hybridMultilevel"/>
    <w:lvl w:ilvl="0" w15:tentative="1">
      <w:start w:val="1"/>
      <w:numFmt w:val="decimal"/>
      <w:lvlText w:val="%1."/>
      <w:lvlJc w:val="left"/>
      <w:pPr>
        <w:ind w:left="576" w:hanging="576"/>
      </w:pPr>
    </w:lvl>
  </w:abstractNum>
  <w:abstractNum w:abstractNumId="9" w15:restartNumberingAfterBreak="0">
    <w:multiLevelType w:val="hybridMultilevel"/>
    <w:lvl w:ilvl="0" w15:tentative="1">
      <w:start w:val="1"/>
      <w:numFmt w:val="lowerLetter"/>
      <w:lvlText w:val="(%1)"/>
      <w:lvlJc w:val="left"/>
      <w:pPr>
        <w:ind w:left="1440" w:hanging="648"/>
      </w:pPr>
    </w:lvl>
  </w:abstractNum>
  <w:abstractNum w:abstractNumId="10" w15:restartNumberingAfterBreak="0">
    <w:multiLevelType w:val="hybridMultilevel"/>
    <w:lvl w:ilvl="0" w15:tentative="1">
      <w:start w:val="1"/>
      <w:numFmt w:val="lowerLetter"/>
      <w:lvlText w:val="(%1)"/>
      <w:lvlJc w:val="left"/>
      <w:pPr>
        <w:ind w:left="1440" w:hanging="648"/>
      </w:pPr>
    </w:lvl>
  </w:abstractNum>
  <w:abstractNum w:abstractNumId="11" w15:restartNumberingAfterBreak="0">
    <w:multiLevelType w:val="hybridMultilevel"/>
    <w:lvl w:ilvl="0" w15:tentative="1">
      <w:start w:val="1"/>
      <w:numFmt w:val="lowerLetter"/>
      <w:lvlText w:val="(%1)"/>
      <w:lvlJc w:val="left"/>
      <w:pPr>
        <w:ind w:left="1440" w:hanging="648"/>
      </w:pPr>
    </w:lvl>
  </w:abstractNum>
  <w:abstractNum w:abstractNumId="12" w15:restartNumberingAfterBreak="0">
    <w:multiLevelType w:val="hybridMultilevel"/>
    <w:lvl w:ilvl="0" w15:tentative="1">
      <w:start w:val="1"/>
      <w:numFmt w:val="lowerRoman"/>
      <w:lvlText w:val="(%1)"/>
      <w:lvlJc w:val="left"/>
      <w:pPr>
        <w:ind w:left="2304" w:hanging="720"/>
      </w:pPr>
    </w:lvl>
  </w:abstractNum>
  <w:abstractNum w:abstractNumId="13" w15:restartNumberingAfterBreak="0">
    <w:multiLevelType w:val="hybridMultilevel"/>
    <w:lvl w:ilvl="0" w15:tentative="1">
      <w:start w:val="1"/>
      <w:numFmt w:val="lowerLetter"/>
      <w:lvlText w:val="(%1)"/>
      <w:lvlJc w:val="left"/>
      <w:pPr>
        <w:ind w:left="1440" w:hanging="648"/>
      </w:pPr>
    </w:lvl>
  </w:abstractNum>
  <w:abstractNum w:abstractNumId="14" w15:restartNumberingAfterBreak="0">
    <w:multiLevelType w:val="hybridMultilevel"/>
    <w:lvl w:ilvl="0" w15:tentative="1">
      <w:start w:val="1"/>
      <w:numFmt w:val="lowerRoman"/>
      <w:lvlText w:val="(%1)"/>
      <w:lvlJc w:val="left"/>
      <w:pPr>
        <w:ind w:left="2304" w:hanging="720"/>
      </w:pPr>
    </w:lvl>
  </w:abstractNum>
  <w:abstractNum w:abstractNumId="15" w15:restartNumberingAfterBreak="0">
    <w:multiLevelType w:val="hybridMultilevel"/>
    <w:lvl w:ilvl="0" w15:tentative="1">
      <w:start w:val="1"/>
      <w:numFmt w:val="lowerLetter"/>
      <w:lvlText w:val="(%1)"/>
      <w:lvlJc w:val="left"/>
      <w:pPr>
        <w:ind w:left="1440" w:hanging="648"/>
      </w:pPr>
    </w:lvl>
  </w:abstractNum>
  <w:abstractNum w:abstractNumId="16" w15:restartNumberingAfterBreak="0">
    <w:multiLevelType w:val="hybridMultilevel"/>
    <w:lvl w:ilvl="0" w15:tentative="1">
      <w:start w:val="1"/>
      <w:numFmt w:val="lowerRoman"/>
      <w:lvlText w:val="(%1)"/>
      <w:lvlJc w:val="left"/>
      <w:pPr>
        <w:ind w:left="2304" w:hanging="720"/>
      </w:pPr>
    </w:lvl>
  </w:abstractNum>
  <w:abstractNum w:abstractNumId="17" w15:restartNumberingAfterBreak="0">
    <w:multiLevelType w:val="hybridMultilevel"/>
    <w:lvl w:ilvl="0" w15:tentative="1">
      <w:start w:val="1"/>
      <w:numFmt w:val="lowerLetter"/>
      <w:lvlText w:val="(%1)"/>
      <w:lvlJc w:val="left"/>
      <w:pPr>
        <w:ind w:left="1440" w:hanging="648"/>
      </w:pPr>
    </w:lvl>
  </w:abstractNum>
  <w:abstractNum w:abstractNumId="18" w15:restartNumberingAfterBreak="0">
    <w:multiLevelType w:val="hybridMultilevel"/>
    <w:lvl w:ilvl="0" w15:tentative="1">
      <w:start w:val="1"/>
      <w:numFmt w:val="lowerRoman"/>
      <w:lvlText w:val="(%1)"/>
      <w:lvlJc w:val="left"/>
      <w:pPr>
        <w:ind w:left="2304" w:hanging="720"/>
      </w:pPr>
    </w:lvl>
  </w:abstractNum>
  <w:abstractNum w:abstractNumId="19" w15:restartNumberingAfterBreak="0">
    <w:multiLevelType w:val="hybridMultilevel"/>
    <w:lvl w:ilvl="0" w15:tentative="1">
      <w:start w:val="1"/>
      <w:numFmt w:val="lowerLetter"/>
      <w:lvlText w:val="(%1)"/>
      <w:lvlJc w:val="left"/>
      <w:pPr>
        <w:ind w:left="1440" w:hanging="648"/>
      </w:pPr>
    </w:lvl>
  </w:abstractNum>
  <w:abstractNum w:abstractNumId="20" w15:restartNumberingAfterBreak="0">
    <w:multiLevelType w:val="hybridMultilevel"/>
    <w:lvl w:ilvl="0" w15:tentative="1">
      <w:start w:val="1"/>
      <w:numFmt w:val="lowerRoman"/>
      <w:lvlText w:val="(%1)"/>
      <w:lvlJc w:val="left"/>
      <w:pPr>
        <w:ind w:left="2304" w:hanging="720"/>
      </w:pPr>
    </w:lvl>
  </w:abstractNum>
  <w:abstractNum w:abstractNumId="21" w15:restartNumberingAfterBreak="0">
    <w:multiLevelType w:val="hybridMultilevel"/>
    <w:lvl w:ilvl="0" w15:tentative="1">
      <w:start w:val="1"/>
      <w:numFmt w:val="lowerLetter"/>
      <w:lvlText w:val="(%1)"/>
      <w:lvlJc w:val="left"/>
      <w:pPr>
        <w:ind w:left="1440" w:hanging="648"/>
      </w:pPr>
    </w:lvl>
  </w:abstractNum>
  <w:abstractNum w:abstractNumId="22" w15:restartNumberingAfterBreak="0">
    <w:multiLevelType w:val="hybridMultilevel"/>
    <w:lvl w:ilvl="0" w15:tentative="1">
      <w:start w:val="1"/>
      <w:numFmt w:val="lowerRoman"/>
      <w:lvlText w:val="(%1)"/>
      <w:lvlJc w:val="left"/>
      <w:pPr>
        <w:ind w:left="2304" w:hanging="720"/>
      </w:pPr>
    </w:lvl>
  </w:abstractNum>
  <w:abstractNum w:abstractNumId="23" w15:restartNumberingAfterBreak="0">
    <w:multiLevelType w:val="hybridMultilevel"/>
    <w:lvl w:ilvl="0" w15:tentative="1">
      <w:start w:val="1"/>
      <w:numFmt w:val="lowerLetter"/>
      <w:lvlText w:val="(%1)"/>
      <w:lvlJc w:val="left"/>
      <w:pPr>
        <w:ind w:left="1440" w:hanging="648"/>
      </w:pPr>
    </w:lvl>
  </w:abstractNum>
  <w:abstractNum w:abstractNumId="24" w15:restartNumberingAfterBreak="0">
    <w:multiLevelType w:val="hybridMultilevel"/>
    <w:lvl w:ilvl="0" w15:tentative="1">
      <w:start w:val="1"/>
      <w:numFmt w:val="lowerRoman"/>
      <w:lvlText w:val="(%1)"/>
      <w:lvlJc w:val="left"/>
      <w:pPr>
        <w:ind w:left="2304" w:hanging="720"/>
      </w:pPr>
    </w:lvl>
  </w:abstractNum>
  <w:abstractNum w:abstractNumId="25" w15:restartNumberingAfterBreak="0">
    <w:multiLevelType w:val="hybridMultilevel"/>
    <w:lvl w:ilvl="0" w15:tentative="1">
      <w:start w:val="1"/>
      <w:numFmt w:val="lowerLetter"/>
      <w:lvlText w:val="(%1)"/>
      <w:lvlJc w:val="left"/>
      <w:pPr>
        <w:ind w:left="1440" w:hanging="648"/>
      </w:pPr>
    </w:lvl>
  </w:abstractNum>
  <w:abstractNum w:abstractNumId="26" w15:restartNumberingAfterBreak="0">
    <w:multiLevelType w:val="hybridMultilevel"/>
    <w:lvl w:ilvl="0" w15:tentative="1">
      <w:start w:val="1"/>
      <w:numFmt w:val="lowerRoman"/>
      <w:lvlText w:val="(%1)"/>
      <w:lvlJc w:val="left"/>
      <w:pPr>
        <w:ind w:left="2304" w:hanging="720"/>
      </w:pPr>
    </w:lvl>
  </w:abstractNum>
  <w:abstractNum w:abstractNumId="27" w15:restartNumberingAfterBreak="0">
    <w:multiLevelType w:val="hybridMultilevel"/>
    <w:lvl w:ilvl="0" w15:tentative="1">
      <w:start w:val="1"/>
      <w:numFmt w:val="lowerLetter"/>
      <w:lvlText w:val="(%1)"/>
      <w:lvlJc w:val="left"/>
      <w:pPr>
        <w:ind w:left="1440" w:hanging="648"/>
      </w:pPr>
    </w:lvl>
  </w:abstractNum>
  <w:abstractNum w:abstractNumId="28" w15:restartNumberingAfterBreak="0">
    <w:multiLevelType w:val="hybridMultilevel"/>
    <w:lvl w:ilvl="0" w15:tentative="1">
      <w:start w:val="1"/>
      <w:numFmt w:val="lowerRoman"/>
      <w:lvlText w:val="(%1)"/>
      <w:lvlJc w:val="left"/>
      <w:pPr>
        <w:ind w:left="2304" w:hanging="720"/>
      </w:pPr>
    </w:lvl>
  </w:abstractNum>
  <w:abstractNum w:abstractNumId="29" w15:restartNumberingAfterBreak="0">
    <w:multiLevelType w:val="hybridMultilevel"/>
    <w:lvl w:ilvl="0" w15:tentative="1">
      <w:start w:val="1"/>
      <w:numFmt w:val="lowerLetter"/>
      <w:lvlText w:val="(%1)"/>
      <w:lvlJc w:val="left"/>
      <w:pPr>
        <w:ind w:left="1440" w:hanging="648"/>
      </w:pPr>
    </w:lvl>
  </w:abstractNum>
  <w:abstractNum w:abstractNumId="30" w15:restartNumberingAfterBreak="0">
    <w:multiLevelType w:val="hybridMultilevel"/>
    <w:lvl w:ilvl="0" w15:tentative="1">
      <w:start w:val="1"/>
      <w:numFmt w:val="lowerRoman"/>
      <w:lvlText w:val="(%1)"/>
      <w:lvlJc w:val="left"/>
      <w:pPr>
        <w:ind w:left="2304" w:hanging="720"/>
      </w:pPr>
    </w:lvl>
  </w:abstractNum>
  <w:abstractNum w:abstractNumId="31" w15:restartNumberingAfterBreak="0">
    <w:multiLevelType w:val="hybridMultilevel"/>
    <w:lvl w:ilvl="0" w15:tentative="1">
      <w:start w:val="1"/>
      <w:numFmt w:val="lowerLetter"/>
      <w:lvlText w:val="(%1)"/>
      <w:lvlJc w:val="left"/>
      <w:pPr>
        <w:ind w:left="1440" w:hanging="648"/>
      </w:pPr>
    </w:lvl>
  </w:abstractNum>
  <w:abstractNum w:abstractNumId="32" w15:restartNumberingAfterBreak="0">
    <w:multiLevelType w:val="hybridMultilevel"/>
    <w:lvl w:ilvl="0" w15:tentative="1">
      <w:start w:val="1"/>
      <w:numFmt w:val="lowerRoman"/>
      <w:lvlText w:val="(%1)"/>
      <w:lvlJc w:val="left"/>
      <w:pPr>
        <w:ind w:left="2304" w:hanging="720"/>
      </w:pPr>
    </w:lvl>
  </w:abstractNum>
  <w:abstractNum w:abstractNumId="33" w15:restartNumberingAfterBreak="0">
    <w:multiLevelType w:val="hybridMultilevel"/>
    <w:lvl w:ilvl="0" w15:tentative="1">
      <w:start w:val="1"/>
      <w:numFmt w:val="lowerLetter"/>
      <w:lvlText w:val="(%1)"/>
      <w:lvlJc w:val="left"/>
      <w:pPr>
        <w:ind w:left="1440" w:hanging="648"/>
      </w:pPr>
    </w:lvl>
  </w:abstractNum>
  <w:abstractNum w:abstractNumId="34" w15:restartNumberingAfterBreak="0">
    <w:multiLevelType w:val="hybridMultilevel"/>
    <w:lvl w:ilvl="0" w15:tentative="1">
      <w:start w:val="1"/>
      <w:numFmt w:val="lowerRoman"/>
      <w:lvlText w:val="(%1)"/>
      <w:lvlJc w:val="left"/>
      <w:pPr>
        <w:ind w:left="2304" w:hanging="720"/>
      </w:pPr>
    </w:lvl>
  </w:abstractNum>
  <w:abstractNum w:abstractNumId="35" w15:restartNumberingAfterBreak="0">
    <w:multiLevelType w:val="hybridMultilevel"/>
    <w:lvl w:ilvl="0" w15:tentative="1">
      <w:start w:val="1"/>
      <w:numFmt w:val="lowerLetter"/>
      <w:lvlText w:val="(%1)"/>
      <w:lvlJc w:val="left"/>
      <w:pPr>
        <w:ind w:left="1440" w:hanging="648"/>
      </w:pPr>
    </w:lvl>
  </w:abstractNum>
  <w:abstractNum w:abstractNumId="36" w15:restartNumberingAfterBreak="0">
    <w:multiLevelType w:val="hybridMultilevel"/>
    <w:lvl w:ilvl="0" w15:tentative="1">
      <w:start w:val="1"/>
      <w:numFmt w:val="lowerRoman"/>
      <w:lvlText w:val="(%1)"/>
      <w:lvlJc w:val="left"/>
      <w:pPr>
        <w:ind w:left="2304" w:hanging="7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4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2026-09-02T15:55:34.571Z</dcterms:created>
  <dcterms:modified xsi:type="dcterms:W3CDTF">2026-09-02T15:55:34.571Z</dcterms:modified>
</cp:coreProperties>
</file>

<file path=docProps/custom.xml><?xml version="1.0" encoding="utf-8"?>
<Properties xmlns="http://schemas.openxmlformats.org/officeDocument/2006/custom-properties" xmlns:vt="http://schemas.openxmlformats.org/officeDocument/2006/docPropsVTypes"/>
</file>