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b/>
          <w:bCs/>
          <w:sz w:val="24"/>
          <w:szCs w:val="24"/>
        </w:rPr>
        <w:t xml:space="preserve">SRQ RESOURCES INC.</w:t>
      </w:r>
    </w:p>
    <w:p>
      <w:pPr>
        <w:spacing w:after="240"/>
        <w:jc w:val="center"/>
      </w:pPr>
      <w:r>
        <w:rPr>
          <w:sz w:val="24"/>
          <w:szCs w:val="24"/>
        </w:rPr>
        <w:t xml:space="preserve">(la « Société »)</w:t>
      </w:r>
    </w:p>
    <w:p>
      <w:pPr>
        <w:spacing w:after="360"/>
        <w:jc w:val="center"/>
      </w:pPr>
      <w:r>
        <w:rPr>
          <w:b/>
          <w:bCs/>
          <w:sz w:val="24"/>
          <w:szCs w:val="24"/>
          <w:u w:val="single"/>
        </w:rPr>
        <w:t xml:space="preserve">Charte du comité d'audit</w:t>
      </w:r>
    </w:p>
    <w:p>
      <w:pPr>
        <w:spacing w:after="160" w:before="240"/>
      </w:pPr>
      <w:r>
        <w:rPr>
          <w:b/>
          <w:bCs/>
          <w:caps w:val="false"/>
          <w:sz w:val="24"/>
          <w:szCs w:val="24"/>
        </w:rPr>
        <w:t xml:space="preserve">1. Objet et objectifs</w:t>
      </w:r>
    </w:p>
    <w:p>
      <w:pPr>
        <w:tabs>
          <w:tab w:val="left" w:pos="936"/>
        </w:tabs>
        <w:spacing w:after="240"/>
        <w:ind w:left="936" w:hanging="936"/>
        <w:jc w:val="both"/>
      </w:pPr>
      <w:r>
        <w:rPr>
          <w:sz w:val="24"/>
          <w:szCs w:val="24"/>
        </w:rPr>
        <w:t xml:space="preserve">1.1</w:t>
      </w:r>
      <w:r>
        <w:rPr>
          <w:sz w:val="24"/>
          <w:szCs w:val="24"/>
        </w:rPr>
        <w:t xml:space="preserve">	</w:t>
      </w:r>
      <w:r>
        <w:rPr>
          <w:sz w:val="24"/>
          <w:szCs w:val="24"/>
        </w:rPr>
        <w:t xml:space="preserve">Le comité d’audit assistera le conseil d’administration (le « conseil ») dans l’exercice de ses responsabilités. Le comité d’audit examinera le processus d’information financière, le système de contrôle interne et la gestion des risques financiers, le processus d’audit ainsi que le processus de la Société visant à surveiller le respect des lois et des règlements. Dans l’exercice de ses fonctions, le comité d’audit entretiendra des relations de travail efficaces avec le conseil, la direction et les auditeurs externes et veillera à l’indépendance de ces auditeurs. Pour jouer efficacement son rôle, chaque membre du comité d’audit acquerra une compréhension des responsabilités liées à son appartenance au comité d’audit ainsi que des activités, de l’exploitation et des risques de la Société.</w:t>
      </w:r>
    </w:p>
    <w:p>
      <w:pPr>
        <w:spacing w:after="160" w:before="240"/>
      </w:pPr>
      <w:r>
        <w:rPr>
          <w:b/>
          <w:bCs/>
          <w:caps w:val="false"/>
          <w:sz w:val="24"/>
          <w:szCs w:val="24"/>
        </w:rPr>
        <w:t xml:space="preserve">2. Pouvoirs</w:t>
      </w:r>
    </w:p>
    <w:p>
      <w:pPr>
        <w:tabs>
          <w:tab w:val="left" w:pos="936"/>
        </w:tabs>
        <w:spacing w:after="240"/>
        <w:ind w:left="936" w:hanging="936"/>
        <w:jc w:val="both"/>
      </w:pPr>
      <w:r>
        <w:rPr>
          <w:sz w:val="24"/>
          <w:szCs w:val="24"/>
        </w:rPr>
        <w:t xml:space="preserve">2.1</w:t>
      </w:r>
      <w:r>
        <w:rPr>
          <w:sz w:val="24"/>
          <w:szCs w:val="24"/>
        </w:rPr>
        <w:t xml:space="preserve">	</w:t>
      </w:r>
      <w:r>
        <w:rPr>
          <w:sz w:val="24"/>
          <w:szCs w:val="24"/>
        </w:rPr>
        <w:t xml:space="preserve">Le conseil autorise le comité d’audit, dans le cadre de ses responsabilités, à obtenir toute information dont il a besoin auprès de tout employé et de parties externes, à obtenir des avis juridiques ou professionnels externes et à exiger la présence des dirigeants de la Société aux réunions, s’il y a lieu.</w:t>
      </w:r>
    </w:p>
    <w:p>
      <w:pPr>
        <w:tabs>
          <w:tab w:val="left" w:pos="936"/>
        </w:tabs>
        <w:spacing w:after="240"/>
        <w:ind w:left="936" w:hanging="936"/>
        <w:jc w:val="both"/>
      </w:pPr>
      <w:r>
        <w:rPr>
          <w:sz w:val="24"/>
          <w:szCs w:val="24"/>
        </w:rPr>
        <w:t xml:space="preserve">2.2</w:t>
      </w:r>
      <w:r>
        <w:rPr>
          <w:sz w:val="24"/>
          <w:szCs w:val="24"/>
        </w:rPr>
        <w:t xml:space="preserve">	</w:t>
      </w:r>
      <w:r>
        <w:rPr>
          <w:sz w:val="24"/>
          <w:szCs w:val="24"/>
        </w:rPr>
        <w:t xml:space="preserve">Le conseil donnera instruction à ses auditeurs externes de faire rapport directement au comité d’audit.</w:t>
      </w:r>
    </w:p>
    <w:p>
      <w:pPr>
        <w:spacing w:after="160" w:before="240"/>
      </w:pPr>
      <w:r>
        <w:rPr>
          <w:b/>
          <w:bCs/>
          <w:caps w:val="false"/>
          <w:sz w:val="24"/>
          <w:szCs w:val="24"/>
        </w:rPr>
        <w:t xml:space="preserve">3. Composition, procédures et organisation</w:t>
      </w:r>
    </w:p>
    <w:p>
      <w:pPr>
        <w:spacing w:after="140" w:before="200"/>
      </w:pPr>
      <w:r>
        <w:rPr>
          <w:sz w:val="24"/>
          <w:szCs w:val="24"/>
          <w:u w:val="single"/>
        </w:rPr>
        <w:t xml:space="preserve">Composition</w:t>
      </w:r>
    </w:p>
    <w:p>
      <w:pPr>
        <w:tabs>
          <w:tab w:val="left" w:pos="936"/>
        </w:tabs>
        <w:spacing w:after="240"/>
        <w:ind w:left="936" w:hanging="936"/>
        <w:jc w:val="both"/>
      </w:pPr>
      <w:r>
        <w:rPr>
          <w:sz w:val="24"/>
          <w:szCs w:val="24"/>
        </w:rPr>
        <w:t xml:space="preserve">3.1</w:t>
      </w:r>
      <w:r>
        <w:rPr>
          <w:sz w:val="24"/>
          <w:szCs w:val="24"/>
        </w:rPr>
        <w:t xml:space="preserve">	</w:t>
      </w:r>
      <w:r>
        <w:rPr>
          <w:sz w:val="24"/>
          <w:szCs w:val="24"/>
        </w:rPr>
        <w:t xml:space="preserve">Le comité d’audit doit être composé d’au moins trois membres du conseil, dont la majorité ne sont ni des dirigeants, ni des employés, ni des personnes qui exercent le contrôle de la Société ou de toute personne qui a des liens avec la Société ou de tout membre de son groupe.</w:t>
      </w:r>
    </w:p>
    <w:p>
      <w:pPr>
        <w:tabs>
          <w:tab w:val="left" w:pos="936"/>
        </w:tabs>
        <w:spacing w:after="240"/>
        <w:ind w:left="936" w:hanging="936"/>
        <w:jc w:val="both"/>
      </w:pPr>
      <w:r>
        <w:rPr>
          <w:sz w:val="24"/>
          <w:szCs w:val="24"/>
        </w:rPr>
        <w:t xml:space="preserve">3.2</w:t>
      </w:r>
      <w:r>
        <w:rPr>
          <w:sz w:val="24"/>
          <w:szCs w:val="24"/>
        </w:rPr>
        <w:t xml:space="preserve">	</w:t>
      </w:r>
      <w:r>
        <w:rPr>
          <w:sz w:val="24"/>
          <w:szCs w:val="24"/>
        </w:rPr>
        <w:t xml:space="preserve">Le conseil, à sa réunion d’organisation tenue concurremment à chaque assemblée générale annuelle des actionnaires, nomme les membres du comité d’audit pour l’exercice à venir. Le conseil peut en tout temps destituer ou remplacer tout membre du comité d’audit et peut combler toute vacance au sein du comité d’audit.</w:t>
      </w:r>
    </w:p>
    <w:p>
      <w:pPr>
        <w:tabs>
          <w:tab w:val="left" w:pos="936"/>
        </w:tabs>
        <w:spacing w:after="240"/>
        <w:ind w:left="936" w:hanging="936"/>
        <w:jc w:val="both"/>
      </w:pPr>
      <w:r>
        <w:rPr>
          <w:sz w:val="24"/>
          <w:szCs w:val="24"/>
        </w:rPr>
        <w:t xml:space="preserve">3.3</w:t>
      </w:r>
      <w:r>
        <w:rPr>
          <w:sz w:val="24"/>
          <w:szCs w:val="24"/>
        </w:rPr>
        <w:t xml:space="preserve">	</w:t>
      </w:r>
      <w:r>
        <w:rPr>
          <w:sz w:val="24"/>
          <w:szCs w:val="24"/>
        </w:rPr>
        <w:t xml:space="preserve">À moins que le conseil n’ait nommé un président du comité d’audit, ou en cas d’absence de celui-ci, les membres du comité d’audit élisent un président parmi eux.</w:t>
      </w:r>
    </w:p>
    <w:p>
      <w:pPr>
        <w:tabs>
          <w:tab w:val="left" w:pos="936"/>
        </w:tabs>
        <w:spacing w:after="240"/>
        <w:ind w:left="936" w:hanging="936"/>
        <w:jc w:val="both"/>
      </w:pPr>
      <w:r>
        <w:rPr>
          <w:sz w:val="24"/>
          <w:szCs w:val="24"/>
        </w:rPr>
        <w:t xml:space="preserve">3.4</w:t>
      </w:r>
      <w:r>
        <w:rPr>
          <w:sz w:val="24"/>
          <w:szCs w:val="24"/>
        </w:rPr>
        <w:t xml:space="preserve">	</w:t>
      </w:r>
      <w:r>
        <w:rPr>
          <w:sz w:val="24"/>
          <w:szCs w:val="24"/>
        </w:rPr>
        <w:t xml:space="preserve">Le secrétaire du comité d’audit est désigné à l’occasion parmi les membres du comité d’audit ou, à défaut, est le secrétaire de la Société, à moins que le comité d’audit n’en décide autrement.</w:t>
      </w:r>
    </w:p>
    <w:p>
      <w:pPr>
        <w:tabs>
          <w:tab w:val="left" w:pos="936"/>
        </w:tabs>
        <w:spacing w:after="240"/>
        <w:ind w:left="936" w:hanging="936"/>
        <w:jc w:val="both"/>
      </w:pPr>
      <w:r>
        <w:rPr>
          <w:sz w:val="24"/>
          <w:szCs w:val="24"/>
        </w:rPr>
        <w:t xml:space="preserve">3.5</w:t>
      </w:r>
      <w:r>
        <w:rPr>
          <w:sz w:val="24"/>
          <w:szCs w:val="24"/>
        </w:rPr>
        <w:t xml:space="preserve">	</w:t>
      </w:r>
      <w:r>
        <w:rPr>
          <w:sz w:val="24"/>
          <w:szCs w:val="24"/>
        </w:rPr>
        <w:t xml:space="preserve">Le comité d’audit a accès aux dirigeants et aux employés de la Société ainsi qu’aux auditeurs externes de la Société, de même qu’à toute information concernant la Société, qu’il juge nécessaire ou souhaitable pour l’exercice de ses fonctions et responsabilités.</w:t>
      </w:r>
    </w:p>
    <w:p>
      <w:pPr>
        <w:spacing w:after="140" w:before="200"/>
      </w:pPr>
      <w:r>
        <w:rPr>
          <w:sz w:val="24"/>
          <w:szCs w:val="24"/>
          <w:u w:val="single"/>
        </w:rPr>
        <w:t xml:space="preserve">Réunions</w:t>
      </w:r>
    </w:p>
    <w:p>
      <w:pPr>
        <w:tabs>
          <w:tab w:val="left" w:pos="936"/>
        </w:tabs>
        <w:spacing w:after="240"/>
        <w:ind w:left="936" w:hanging="936"/>
        <w:jc w:val="both"/>
      </w:pPr>
      <w:r>
        <w:rPr>
          <w:sz w:val="24"/>
          <w:szCs w:val="24"/>
        </w:rPr>
        <w:t xml:space="preserve">3.6</w:t>
      </w:r>
      <w:r>
        <w:rPr>
          <w:sz w:val="24"/>
          <w:szCs w:val="24"/>
        </w:rPr>
        <w:t xml:space="preserve">	</w:t>
      </w:r>
      <w:r>
        <w:rPr>
          <w:sz w:val="24"/>
          <w:szCs w:val="24"/>
        </w:rPr>
        <w:t xml:space="preserve">Le quorum des réunions est constitué de la majorité des membres du comité d’audit, présents en personne ou par téléphone ou tout autre moyen de télécommunication permettant à toutes les personnes participant à la réunion de se parler et de s’entendre.</w:t>
      </w:r>
    </w:p>
    <w:p>
      <w:pPr>
        <w:tabs>
          <w:tab w:val="left" w:pos="936"/>
        </w:tabs>
        <w:spacing w:after="240"/>
        <w:ind w:left="936" w:hanging="936"/>
        <w:jc w:val="both"/>
      </w:pPr>
      <w:r>
        <w:rPr>
          <w:sz w:val="24"/>
          <w:szCs w:val="24"/>
        </w:rPr>
        <w:t xml:space="preserve">3.7</w:t>
      </w:r>
      <w:r>
        <w:rPr>
          <w:sz w:val="24"/>
          <w:szCs w:val="24"/>
        </w:rPr>
        <w:t xml:space="preserve">	</w:t>
      </w:r>
      <w:r>
        <w:rPr>
          <w:sz w:val="24"/>
          <w:szCs w:val="24"/>
        </w:rPr>
        <w:t xml:space="preserve">Les réunions du comité d’audit se déroulent comme suit :</w:t>
      </w:r>
    </w:p>
    <w:p>
      <w:pPr>
        <w:pStyle w:val="ListParagraph"/>
        <w:numPr>
          <w:ilvl w:val="0"/>
          <w:numId w:val="2"/>
        </w:numPr>
        <w:spacing w:after="200"/>
        <w:jc w:val="both"/>
      </w:pPr>
      <w:r>
        <w:rPr>
          <w:sz w:val="24"/>
          <w:szCs w:val="24"/>
        </w:rPr>
        <w:t xml:space="preserve">le comité d’audit se réunit au moins quatre fois par année, aux moments et aux endroits demandés par le président du comité d’audit. Des réunions extraordinaires sont convoquées au besoin. Les auditeurs externes ou tout membre du comité d’audit peuvent demander la tenue d’une réunion du comité d’audit;</w:t>
      </w:r>
    </w:p>
    <w:p>
      <w:pPr>
        <w:pStyle w:val="ListParagraph"/>
        <w:numPr>
          <w:ilvl w:val="0"/>
          <w:numId w:val="2"/>
        </w:numPr>
        <w:spacing w:after="200"/>
        <w:jc w:val="both"/>
      </w:pPr>
      <w:r>
        <w:rPr>
          <w:sz w:val="24"/>
          <w:szCs w:val="24"/>
        </w:rPr>
        <w:t xml:space="preserve">le président du comité d’audit est chargé de préparer et d’établir l’ordre du jour des réunions du comité d’audit et de déterminer la date, l’heure et le lieu de ces réunions;</w:t>
      </w:r>
    </w:p>
    <w:p>
      <w:pPr>
        <w:pStyle w:val="ListParagraph"/>
        <w:numPr>
          <w:ilvl w:val="0"/>
          <w:numId w:val="2"/>
        </w:numPr>
        <w:spacing w:after="200"/>
        <w:jc w:val="both"/>
      </w:pPr>
      <w:r>
        <w:rPr>
          <w:sz w:val="24"/>
          <w:szCs w:val="24"/>
        </w:rPr>
        <w:t xml:space="preserve">le comité d’audit peut inviter à ses réunions toute autre personne (p. ex. le président ou le chef des finances) qu’il juge appropriée; et</w:t>
      </w:r>
    </w:p>
    <w:p>
      <w:pPr>
        <w:pStyle w:val="ListParagraph"/>
        <w:numPr>
          <w:ilvl w:val="0"/>
          <w:numId w:val="2"/>
        </w:numPr>
        <w:spacing w:after="200"/>
        <w:jc w:val="both"/>
      </w:pPr>
      <w:r>
        <w:rPr>
          <w:sz w:val="24"/>
          <w:szCs w:val="24"/>
        </w:rPr>
        <w:t xml:space="preserve">un avis indiquant la date, l’heure et le lieu de chaque réunion du comité d’audit est donné par écrit à chaque membre du comité d’audit dans un délai raisonnable avant la réunion.</w:t>
      </w:r>
    </w:p>
    <w:p>
      <w:pPr>
        <w:tabs>
          <w:tab w:val="left" w:pos="936"/>
        </w:tabs>
        <w:spacing w:after="240"/>
        <w:ind w:left="936" w:hanging="936"/>
        <w:jc w:val="both"/>
      </w:pPr>
      <w:r>
        <w:rPr>
          <w:sz w:val="24"/>
          <w:szCs w:val="24"/>
        </w:rPr>
        <w:t xml:space="preserve">3.8</w:t>
      </w:r>
      <w:r>
        <w:rPr>
          <w:sz w:val="24"/>
          <w:szCs w:val="24"/>
        </w:rPr>
        <w:t xml:space="preserve">	</w:t>
      </w:r>
      <w:r>
        <w:rPr>
          <w:sz w:val="24"/>
          <w:szCs w:val="24"/>
        </w:rPr>
        <w:t xml:space="preserve">Les délibérations de toutes les réunions du comité d’audit font l’objet d’un procès-verbal.</w:t>
      </w:r>
    </w:p>
    <w:p>
      <w:pPr>
        <w:spacing w:after="140" w:before="200"/>
      </w:pPr>
      <w:r>
        <w:rPr>
          <w:sz w:val="24"/>
          <w:szCs w:val="24"/>
          <w:u w:val="single"/>
        </w:rPr>
        <w:t xml:space="preserve">Procédures</w:t>
      </w:r>
    </w:p>
    <w:p>
      <w:pPr>
        <w:tabs>
          <w:tab w:val="left" w:pos="936"/>
        </w:tabs>
        <w:spacing w:after="240"/>
        <w:ind w:left="936" w:hanging="936"/>
        <w:jc w:val="both"/>
      </w:pPr>
      <w:r>
        <w:rPr>
          <w:sz w:val="24"/>
          <w:szCs w:val="24"/>
        </w:rPr>
        <w:t xml:space="preserve">3.9</w:t>
      </w:r>
      <w:r>
        <w:rPr>
          <w:sz w:val="24"/>
          <w:szCs w:val="24"/>
        </w:rPr>
        <w:t xml:space="preserve">	</w:t>
      </w:r>
      <w:r>
        <w:rPr>
          <w:sz w:val="24"/>
          <w:szCs w:val="24"/>
        </w:rPr>
        <w:t xml:space="preserve">Les auditeurs internes et les auditeurs externes disposent d’une voie de communication directe avec le comité d’audit par l’entremise de son président et peuvent contourner la direction s’ils le jugent nécessaire. Le comité d’audit, par l’entremise de son président, peut communiquer directement avec tout employé de la Société s’il le juge nécessaire, et tout employé peut porter à l’attention du comité d’audit toute question mettant en cause des pratiques ou opérations financières douteuses, illégales ou inappropriées.</w:t>
      </w:r>
    </w:p>
    <w:p>
      <w:pPr>
        <w:tabs>
          <w:tab w:val="left" w:pos="936"/>
        </w:tabs>
        <w:spacing w:after="240"/>
        <w:ind w:left="936" w:hanging="936"/>
        <w:jc w:val="both"/>
      </w:pPr>
      <w:r>
        <w:rPr>
          <w:sz w:val="24"/>
          <w:szCs w:val="24"/>
        </w:rPr>
        <w:t xml:space="preserve">3.10</w:t>
      </w:r>
      <w:r>
        <w:rPr>
          <w:sz w:val="24"/>
          <w:szCs w:val="24"/>
        </w:rPr>
        <w:t xml:space="preserve">	</w:t>
      </w:r>
      <w:r>
        <w:rPr>
          <w:sz w:val="24"/>
          <w:szCs w:val="24"/>
        </w:rPr>
        <w:t xml:space="preserve">Le comité d’audit a le pouvoir de retenir les services de conseillers juridiques indépendants et d’autres conseillers qu’il juge nécessaires à l’exercice de ses fonctions, de fixer et de payer la rémunération de tout conseiller dont il retient les services et de communiquer directement avec les auditeurs internes et externes.</w:t>
      </w:r>
    </w:p>
    <w:p>
      <w:pPr>
        <w:spacing w:after="160" w:before="240"/>
      </w:pPr>
      <w:r>
        <w:rPr>
          <w:b/>
          <w:bCs/>
          <w:caps w:val="false"/>
          <w:sz w:val="24"/>
          <w:szCs w:val="24"/>
        </w:rPr>
        <w:t xml:space="preserve">4. Rôles et responsabilités</w:t>
      </w:r>
    </w:p>
    <w:p>
      <w:pPr>
        <w:tabs>
          <w:tab w:val="left" w:pos="936"/>
        </w:tabs>
        <w:spacing w:after="240"/>
        <w:ind w:left="936" w:hanging="936"/>
        <w:jc w:val="both"/>
      </w:pPr>
      <w:r>
        <w:rPr>
          <w:sz w:val="24"/>
          <w:szCs w:val="24"/>
        </w:rPr>
        <w:t xml:space="preserve">4.1</w:t>
      </w:r>
      <w:r>
        <w:rPr>
          <w:sz w:val="24"/>
          <w:szCs w:val="24"/>
        </w:rPr>
        <w:t xml:space="preserve">	</w:t>
      </w:r>
      <w:r>
        <w:rPr>
          <w:sz w:val="24"/>
          <w:szCs w:val="24"/>
        </w:rPr>
        <w:t xml:space="preserve">Les fonctions et responsabilités générales du comité d’audit sont les suivantes :</w:t>
      </w:r>
    </w:p>
    <w:p>
      <w:pPr>
        <w:pStyle w:val="ListParagraph"/>
        <w:numPr>
          <w:ilvl w:val="0"/>
          <w:numId w:val="3"/>
        </w:numPr>
        <w:spacing w:after="200"/>
        <w:jc w:val="both"/>
      </w:pPr>
      <w:r>
        <w:rPr>
          <w:sz w:val="24"/>
          <w:szCs w:val="24"/>
        </w:rPr>
        <w:t xml:space="preserve">assister le conseil dans l’exercice de ses responsabilités relatives aux principes comptables, aux pratiques d’information financière et aux contrôles internes de la Société ainsi qu’à l’approbation par le conseil des états financiers consolidés annuels et trimestriels de la Société;</w:t>
      </w:r>
    </w:p>
    <w:p>
      <w:pPr>
        <w:pStyle w:val="ListParagraph"/>
        <w:numPr>
          <w:ilvl w:val="0"/>
          <w:numId w:val="3"/>
        </w:numPr>
        <w:spacing w:after="200"/>
        <w:jc w:val="both"/>
      </w:pPr>
      <w:r>
        <w:rPr>
          <w:sz w:val="24"/>
          <w:szCs w:val="24"/>
        </w:rPr>
        <w:t xml:space="preserve">établir et maintenir une voie de communication directe avec les auditeurs internes de la Société, le cas échéant, et avec ses auditeurs externes, et évaluer leur rendement; et</w:t>
      </w:r>
    </w:p>
    <w:p>
      <w:pPr>
        <w:pStyle w:val="ListParagraph"/>
        <w:numPr>
          <w:ilvl w:val="0"/>
          <w:numId w:val="3"/>
        </w:numPr>
        <w:spacing w:after="200"/>
        <w:jc w:val="both"/>
      </w:pPr>
      <w:r>
        <w:rPr>
          <w:sz w:val="24"/>
          <w:szCs w:val="24"/>
        </w:rPr>
        <w:t xml:space="preserve">s’assurer que la direction de la Société a conçu et mis en place un système efficace de contrôles financiers internes et qu’elle en assure le maintien.</w:t>
      </w:r>
    </w:p>
    <w:p>
      <w:pPr>
        <w:tabs>
          <w:tab w:val="left" w:pos="936"/>
        </w:tabs>
        <w:spacing w:after="240"/>
        <w:ind w:left="936" w:hanging="936"/>
        <w:jc w:val="both"/>
      </w:pPr>
      <w:r>
        <w:rPr>
          <w:sz w:val="24"/>
          <w:szCs w:val="24"/>
        </w:rPr>
        <w:t xml:space="preserve">4.2</w:t>
      </w:r>
      <w:r>
        <w:rPr>
          <w:sz w:val="24"/>
          <w:szCs w:val="24"/>
        </w:rPr>
        <w:t xml:space="preserve">	</w:t>
      </w:r>
      <w:r>
        <w:rPr>
          <w:sz w:val="24"/>
          <w:szCs w:val="24"/>
        </w:rPr>
        <w:t xml:space="preserve">Les fonctions et responsabilités du comité d’audit à l’égard des auditeurs externes sont les suivantes :</w:t>
      </w:r>
    </w:p>
    <w:p>
      <w:pPr>
        <w:pStyle w:val="ListParagraph"/>
        <w:numPr>
          <w:ilvl w:val="0"/>
          <w:numId w:val="4"/>
        </w:numPr>
        <w:spacing w:after="200"/>
        <w:jc w:val="both"/>
      </w:pPr>
      <w:r>
        <w:rPr>
          <w:sz w:val="24"/>
          <w:szCs w:val="24"/>
        </w:rPr>
        <w:t xml:space="preserve">recommander au conseil un cabinet d’auditeurs externes dont les services seront retenus par la Société, et vérifier l’indépendance de ces auditeurs externes;</w:t>
      </w:r>
    </w:p>
    <w:p>
      <w:pPr>
        <w:pStyle w:val="ListParagraph"/>
        <w:numPr>
          <w:ilvl w:val="0"/>
          <w:numId w:val="4"/>
        </w:numPr>
        <w:spacing w:after="200"/>
        <w:jc w:val="both"/>
      </w:pPr>
      <w:r>
        <w:rPr>
          <w:sz w:val="24"/>
          <w:szCs w:val="24"/>
        </w:rPr>
        <w:t xml:space="preserve">examiner et approuver les honoraires, l’étendue et le calendrier de l’audit et des autres services connexes rendus par les auditeurs externes et s’assurer qu’aucune restriction ou limitation injustifiée n’a été imposée quant à l’étendue de l’audit;</w:t>
      </w:r>
    </w:p>
    <w:p>
      <w:pPr>
        <w:pStyle w:val="ListParagraph"/>
        <w:numPr>
          <w:ilvl w:val="0"/>
          <w:numId w:val="4"/>
        </w:numPr>
        <w:spacing w:after="200"/>
        <w:jc w:val="both"/>
      </w:pPr>
      <w:r>
        <w:rPr>
          <w:sz w:val="24"/>
          <w:szCs w:val="24"/>
        </w:rPr>
        <w:t xml:space="preserve">examiner le plan d’audit des auditeurs externes avant le début de l’audit;</w:t>
      </w:r>
    </w:p>
    <w:p>
      <w:pPr>
        <w:pStyle w:val="ListParagraph"/>
        <w:numPr>
          <w:ilvl w:val="0"/>
          <w:numId w:val="4"/>
        </w:numPr>
        <w:spacing w:after="200"/>
        <w:jc w:val="both"/>
      </w:pPr>
      <w:r>
        <w:rPr>
          <w:sz w:val="24"/>
          <w:szCs w:val="24"/>
        </w:rPr>
        <w:t xml:space="preserve">approuver au préalable la prestation de services non liés à l’audit par les auditeurs externes;</w:t>
      </w:r>
    </w:p>
    <w:p>
      <w:pPr>
        <w:pStyle w:val="ListParagraph"/>
        <w:numPr>
          <w:ilvl w:val="0"/>
          <w:numId w:val="4"/>
        </w:numPr>
        <w:spacing w:after="200"/>
        <w:jc w:val="both"/>
      </w:pPr>
      <w:r>
        <w:rPr>
          <w:sz w:val="24"/>
          <w:szCs w:val="24"/>
        </w:rPr>
        <w:t xml:space="preserve">examiner avec les auditeurs externes, une fois leur audit terminé :</w:t>
      </w:r>
    </w:p>
    <w:p>
      <w:pPr>
        <w:pStyle w:val="ListParagraph"/>
        <w:numPr>
          <w:ilvl w:val="0"/>
          <w:numId w:val="5"/>
        </w:numPr>
        <w:spacing w:after="200"/>
        <w:jc w:val="both"/>
      </w:pPr>
      <w:r>
        <w:rPr>
          <w:sz w:val="24"/>
          <w:szCs w:val="24"/>
        </w:rPr>
        <w:t xml:space="preserve">le contenu de leur rapport;</w:t>
      </w:r>
    </w:p>
    <w:p>
      <w:pPr>
        <w:pStyle w:val="ListParagraph"/>
        <w:numPr>
          <w:ilvl w:val="0"/>
          <w:numId w:val="5"/>
        </w:numPr>
        <w:spacing w:after="200"/>
        <w:jc w:val="both"/>
      </w:pPr>
      <w:r>
        <w:rPr>
          <w:sz w:val="24"/>
          <w:szCs w:val="24"/>
        </w:rPr>
        <w:t xml:space="preserve">l’étendue et la qualité des travaux d’audit effectués;</w:t>
      </w:r>
    </w:p>
    <w:p>
      <w:pPr>
        <w:pStyle w:val="ListParagraph"/>
        <w:numPr>
          <w:ilvl w:val="0"/>
          <w:numId w:val="5"/>
        </w:numPr>
        <w:spacing w:after="200"/>
        <w:jc w:val="both"/>
      </w:pPr>
      <w:r>
        <w:rPr>
          <w:sz w:val="24"/>
          <w:szCs w:val="24"/>
        </w:rPr>
        <w:t xml:space="preserve">le caractère adéquat du personnel financier et comptable de la Société;</w:t>
      </w:r>
    </w:p>
    <w:p>
      <w:pPr>
        <w:pStyle w:val="ListParagraph"/>
        <w:numPr>
          <w:ilvl w:val="0"/>
          <w:numId w:val="5"/>
        </w:numPr>
        <w:spacing w:after="200"/>
        <w:jc w:val="both"/>
      </w:pPr>
      <w:r>
        <w:rPr>
          <w:sz w:val="24"/>
          <w:szCs w:val="24"/>
        </w:rPr>
        <w:t xml:space="preserve">les ressources internes utilisées;</w:t>
      </w:r>
    </w:p>
    <w:p>
      <w:pPr>
        <w:pStyle w:val="ListParagraph"/>
        <w:numPr>
          <w:ilvl w:val="0"/>
          <w:numId w:val="5"/>
        </w:numPr>
        <w:spacing w:after="200"/>
        <w:jc w:val="both"/>
      </w:pPr>
      <w:r>
        <w:rPr>
          <w:sz w:val="24"/>
          <w:szCs w:val="24"/>
        </w:rPr>
        <w:t xml:space="preserve">les opérations importantes qui sortent du cours normal des activités de la Société;</w:t>
      </w:r>
    </w:p>
    <w:p>
      <w:pPr>
        <w:pStyle w:val="ListParagraph"/>
        <w:numPr>
          <w:ilvl w:val="0"/>
          <w:numId w:val="5"/>
        </w:numPr>
        <w:spacing w:after="200"/>
        <w:jc w:val="both"/>
      </w:pPr>
      <w:r>
        <w:rPr>
          <w:sz w:val="24"/>
          <w:szCs w:val="24"/>
        </w:rPr>
        <w:t xml:space="preserve">les ajustements importants proposés et les recommandations visant à améliorer les contrôles comptables internes, les principes comptables ou les systèmes de gestion; et</w:t>
      </w:r>
    </w:p>
    <w:p>
      <w:pPr>
        <w:pStyle w:val="ListParagraph"/>
        <w:numPr>
          <w:ilvl w:val="0"/>
          <w:numId w:val="4"/>
        </w:numPr>
        <w:spacing w:after="200"/>
        <w:jc w:val="both"/>
      </w:pPr>
      <w:r>
        <w:rPr>
          <w:sz w:val="24"/>
          <w:szCs w:val="24"/>
        </w:rPr>
        <w:t xml:space="preserve">discuter avec les auditeurs externes de la qualité des principes comptables de la Société, et non seulement de leur acceptabilité.</w:t>
      </w:r>
    </w:p>
    <w:p>
      <w:pPr>
        <w:tabs>
          <w:tab w:val="left" w:pos="936"/>
        </w:tabs>
        <w:spacing w:after="240"/>
        <w:ind w:left="936" w:hanging="936"/>
        <w:jc w:val="both"/>
      </w:pPr>
      <w:r>
        <w:rPr>
          <w:sz w:val="24"/>
          <w:szCs w:val="24"/>
        </w:rPr>
        <w:t xml:space="preserve">4.3</w:t>
      </w:r>
      <w:r>
        <w:rPr>
          <w:sz w:val="24"/>
          <w:szCs w:val="24"/>
        </w:rPr>
        <w:t xml:space="preserve">	</w:t>
      </w:r>
      <w:r>
        <w:rPr>
          <w:sz w:val="24"/>
          <w:szCs w:val="24"/>
        </w:rPr>
        <w:t xml:space="preserve">Les fonctions et responsabilités du comité d’audit à l’égard des auditeurs internes de la Société, le cas échéant, sont les suivantes :</w:t>
      </w:r>
    </w:p>
    <w:p>
      <w:pPr>
        <w:pStyle w:val="ListParagraph"/>
        <w:numPr>
          <w:ilvl w:val="0"/>
          <w:numId w:val="6"/>
        </w:numPr>
        <w:spacing w:after="200"/>
        <w:jc w:val="both"/>
      </w:pPr>
      <w:r>
        <w:rPr>
          <w:sz w:val="24"/>
          <w:szCs w:val="24"/>
        </w:rPr>
        <w:t xml:space="preserve">examiner périodiquement la fonction d’audit interne en ce qui a trait à l’organisation, à la dotation en personnel et à l’efficacité du service d’audit interne; et</w:t>
      </w:r>
    </w:p>
    <w:p>
      <w:pPr>
        <w:pStyle w:val="ListParagraph"/>
        <w:numPr>
          <w:ilvl w:val="0"/>
          <w:numId w:val="6"/>
        </w:numPr>
        <w:spacing w:after="200"/>
        <w:jc w:val="both"/>
      </w:pPr>
      <w:r>
        <w:rPr>
          <w:sz w:val="24"/>
          <w:szCs w:val="24"/>
        </w:rPr>
        <w:t xml:space="preserve">examiner les constatations et recommandations importantes de l’audit interne.</w:t>
      </w:r>
    </w:p>
    <w:p>
      <w:pPr>
        <w:tabs>
          <w:tab w:val="left" w:pos="936"/>
        </w:tabs>
        <w:spacing w:after="240"/>
        <w:ind w:left="936" w:hanging="936"/>
        <w:jc w:val="both"/>
      </w:pPr>
      <w:r>
        <w:rPr>
          <w:sz w:val="24"/>
          <w:szCs w:val="24"/>
        </w:rPr>
        <w:t xml:space="preserve">4.4</w:t>
      </w:r>
      <w:r>
        <w:rPr>
          <w:sz w:val="24"/>
          <w:szCs w:val="24"/>
        </w:rPr>
        <w:t xml:space="preserve">	</w:t>
      </w:r>
      <w:r>
        <w:rPr>
          <w:sz w:val="24"/>
          <w:szCs w:val="24"/>
        </w:rPr>
        <w:t xml:space="preserve">Les fonctions et responsabilités du comité d’audit à l’égard des procédures de contrôle interne de la Société sont les suivantes :</w:t>
      </w:r>
    </w:p>
    <w:p>
      <w:pPr>
        <w:pStyle w:val="ListParagraph"/>
        <w:numPr>
          <w:ilvl w:val="0"/>
          <w:numId w:val="7"/>
        </w:numPr>
        <w:spacing w:after="200"/>
        <w:jc w:val="both"/>
      </w:pPr>
      <w:r>
        <w:rPr>
          <w:sz w:val="24"/>
          <w:szCs w:val="24"/>
        </w:rPr>
        <w:t xml:space="preserve">examiner le caractère approprié et l’efficacité des politiques et pratiques d’affaires de la Société qui ont une incidence sur son intégrité financière, y compris celles relatives à l’audit interne, à l’assurance, à la comptabilité, aux services et systèmes d’information, aux contrôles financiers, à la présentation de l’information de gestion et à la gestion des risques;</w:t>
      </w:r>
    </w:p>
    <w:p>
      <w:pPr>
        <w:pStyle w:val="ListParagraph"/>
        <w:numPr>
          <w:ilvl w:val="0"/>
          <w:numId w:val="7"/>
        </w:numPr>
        <w:spacing w:after="200"/>
        <w:jc w:val="both"/>
      </w:pPr>
      <w:r>
        <w:rPr>
          <w:sz w:val="24"/>
          <w:szCs w:val="24"/>
        </w:rPr>
        <w:t xml:space="preserve">examiner toute question non résolue entre la direction et les auditeurs externes qui pourrait avoir une incidence sur l’information financière ou les contrôles internes de la Société; et</w:t>
      </w:r>
    </w:p>
    <w:p>
      <w:pPr>
        <w:pStyle w:val="ListParagraph"/>
        <w:numPr>
          <w:ilvl w:val="0"/>
          <w:numId w:val="7"/>
        </w:numPr>
        <w:spacing w:after="200"/>
        <w:jc w:val="both"/>
      </w:pPr>
      <w:r>
        <w:rPr>
          <w:sz w:val="24"/>
          <w:szCs w:val="24"/>
        </w:rPr>
        <w:t xml:space="preserve">examiner périodiquement les procédures financières et d’audit de la Société ainsi que la mesure dans laquelle les recommandations formulées par le personnel d’audit interne ou par les auditeurs externes ont été mises en œuvre.</w:t>
      </w:r>
    </w:p>
    <w:p>
      <w:pPr>
        <w:tabs>
          <w:tab w:val="left" w:pos="936"/>
        </w:tabs>
        <w:spacing w:after="240"/>
        <w:ind w:left="936" w:hanging="936"/>
        <w:jc w:val="both"/>
      </w:pPr>
      <w:r>
        <w:rPr>
          <w:sz w:val="24"/>
          <w:szCs w:val="24"/>
        </w:rPr>
        <w:t xml:space="preserve">4.5</w:t>
      </w:r>
      <w:r>
        <w:rPr>
          <w:sz w:val="24"/>
          <w:szCs w:val="24"/>
        </w:rPr>
        <w:t xml:space="preserve">	</w:t>
      </w:r>
      <w:r>
        <w:rPr>
          <w:sz w:val="24"/>
          <w:szCs w:val="24"/>
        </w:rPr>
        <w:t xml:space="preserve">Le comité d’audit a également la responsabilité :</w:t>
      </w:r>
    </w:p>
    <w:p>
      <w:pPr>
        <w:pStyle w:val="ListParagraph"/>
        <w:numPr>
          <w:ilvl w:val="0"/>
          <w:numId w:val="8"/>
        </w:numPr>
        <w:spacing w:after="200"/>
        <w:jc w:val="both"/>
      </w:pPr>
      <w:r>
        <w:rPr>
          <w:sz w:val="24"/>
          <w:szCs w:val="24"/>
        </w:rPr>
        <w:t xml:space="preserve">d’examiner les états financiers annuels et trimestriels, y compris le rapport de gestion s’y rapportant, ainsi que tous les communiqués de presse annuels et intermédiaires sur les résultats, avant leur diffusion publique, y compris toute attestation, tout rapport, toute opinion ou tout examen des auditeurs externes, et de déterminer s’ils sont complets et cohérents avec l’information connue du comité d’audit;</w:t>
      </w:r>
    </w:p>
    <w:p>
      <w:pPr>
        <w:pStyle w:val="ListParagraph"/>
        <w:numPr>
          <w:ilvl w:val="0"/>
          <w:numId w:val="8"/>
        </w:numPr>
        <w:spacing w:after="200"/>
        <w:jc w:val="both"/>
      </w:pPr>
      <w:r>
        <w:rPr>
          <w:sz w:val="24"/>
          <w:szCs w:val="24"/>
        </w:rPr>
        <w:t xml:space="preserve">d’évaluer la fidélité des états financiers intermédiaires et de l’information connexe, y compris le rapport de gestion s’y rapportant, et d’obtenir de la direction des explications quant aux questions suivantes :</w:t>
      </w:r>
    </w:p>
    <w:p>
      <w:pPr>
        <w:pStyle w:val="ListParagraph"/>
        <w:numPr>
          <w:ilvl w:val="0"/>
          <w:numId w:val="9"/>
        </w:numPr>
        <w:spacing w:after="200"/>
        <w:jc w:val="both"/>
      </w:pPr>
      <w:r>
        <w:rPr>
          <w:sz w:val="24"/>
          <w:szCs w:val="24"/>
        </w:rPr>
        <w:t xml:space="preserve">les résultats financiers réels de la période intermédiaire ont-ils varié de façon importante par rapport aux résultats budgétés ou projetés;</w:t>
      </w:r>
    </w:p>
    <w:p>
      <w:pPr>
        <w:pStyle w:val="ListParagraph"/>
        <w:numPr>
          <w:ilvl w:val="0"/>
          <w:numId w:val="9"/>
        </w:numPr>
        <w:spacing w:after="200"/>
        <w:jc w:val="both"/>
      </w:pPr>
      <w:r>
        <w:rPr>
          <w:sz w:val="24"/>
          <w:szCs w:val="24"/>
        </w:rPr>
        <w:t xml:space="preserve">les principes comptables généralement reconnus ont-ils été appliqués de façon uniforme;</w:t>
      </w:r>
    </w:p>
    <w:p>
      <w:pPr>
        <w:pStyle w:val="ListParagraph"/>
        <w:numPr>
          <w:ilvl w:val="0"/>
          <w:numId w:val="9"/>
        </w:numPr>
        <w:spacing w:after="200"/>
        <w:jc w:val="both"/>
      </w:pPr>
      <w:r>
        <w:rPr>
          <w:sz w:val="24"/>
          <w:szCs w:val="24"/>
        </w:rPr>
        <w:t xml:space="preserve">y a-t-il des changements réels ou proposés aux pratiques comptables ou d’information financière; et</w:t>
      </w:r>
    </w:p>
    <w:p>
      <w:pPr>
        <w:pStyle w:val="ListParagraph"/>
        <w:numPr>
          <w:ilvl w:val="0"/>
          <w:numId w:val="9"/>
        </w:numPr>
        <w:spacing w:after="200"/>
        <w:jc w:val="both"/>
      </w:pPr>
      <w:r>
        <w:rPr>
          <w:sz w:val="24"/>
          <w:szCs w:val="24"/>
        </w:rPr>
        <w:t xml:space="preserve">y a-t-il des événements ou des opérations importants ou inhabituels qui doivent faire l’objet d’une information et, dans l’affirmative, le caractère adéquat de cette information;</w:t>
      </w:r>
    </w:p>
    <w:p>
      <w:pPr>
        <w:pStyle w:val="ListParagraph"/>
        <w:numPr>
          <w:ilvl w:val="0"/>
          <w:numId w:val="8"/>
        </w:numPr>
        <w:spacing w:after="200"/>
        <w:jc w:val="both"/>
      </w:pPr>
      <w:r>
        <w:rPr>
          <w:sz w:val="24"/>
          <w:szCs w:val="24"/>
        </w:rPr>
        <w:t xml:space="preserve">d’examiner et d’approuver les sections financières :</w:t>
      </w:r>
    </w:p>
    <w:p>
      <w:pPr>
        <w:pStyle w:val="ListParagraph"/>
        <w:numPr>
          <w:ilvl w:val="0"/>
          <w:numId w:val="10"/>
        </w:numPr>
        <w:spacing w:after="200"/>
        <w:jc w:val="both"/>
      </w:pPr>
      <w:r>
        <w:rPr>
          <w:sz w:val="24"/>
          <w:szCs w:val="24"/>
        </w:rPr>
        <w:t xml:space="preserve">du rapport annuel aux actionnaires;</w:t>
      </w:r>
    </w:p>
    <w:p>
      <w:pPr>
        <w:pStyle w:val="ListParagraph"/>
        <w:numPr>
          <w:ilvl w:val="0"/>
          <w:numId w:val="10"/>
        </w:numPr>
        <w:spacing w:after="200"/>
        <w:jc w:val="both"/>
      </w:pPr>
      <w:r>
        <w:rPr>
          <w:sz w:val="24"/>
          <w:szCs w:val="24"/>
        </w:rPr>
        <w:t xml:space="preserve">de la notice annuelle (le cas échéant);</w:t>
      </w:r>
    </w:p>
    <w:p>
      <w:pPr>
        <w:pStyle w:val="ListParagraph"/>
        <w:numPr>
          <w:ilvl w:val="0"/>
          <w:numId w:val="10"/>
        </w:numPr>
        <w:spacing w:after="200"/>
        <w:jc w:val="both"/>
      </w:pPr>
      <w:r>
        <w:rPr>
          <w:sz w:val="24"/>
          <w:szCs w:val="24"/>
        </w:rPr>
        <w:t xml:space="preserve">des prospectus (le cas échéant); et</w:t>
      </w:r>
    </w:p>
    <w:p>
      <w:pPr>
        <w:pStyle w:val="ListParagraph"/>
        <w:numPr>
          <w:ilvl w:val="0"/>
          <w:numId w:val="10"/>
        </w:numPr>
        <w:spacing w:after="200"/>
        <w:jc w:val="both"/>
      </w:pPr>
      <w:r>
        <w:rPr>
          <w:sz w:val="24"/>
          <w:szCs w:val="24"/>
        </w:rPr>
        <w:t xml:space="preserve">des autres rapports publics nécessitant l’approbation du conseil, et d’en faire rapport au conseil;</w:t>
      </w:r>
    </w:p>
    <w:p>
      <w:pPr>
        <w:pStyle w:val="ListParagraph"/>
        <w:numPr>
          <w:ilvl w:val="0"/>
          <w:numId w:val="8"/>
        </w:numPr>
        <w:spacing w:after="200"/>
        <w:jc w:val="both"/>
      </w:pPr>
      <w:r>
        <w:rPr>
          <w:sz w:val="24"/>
          <w:szCs w:val="24"/>
        </w:rPr>
        <w:t xml:space="preserve">d’examiner le caractère approprié des politiques et procédures utilisées pour la préparation des états financiers consolidés de la Société et des autres documents d’information exigés, et d’examiner les recommandations visant toute modification importante de ces politiques;</w:t>
      </w:r>
    </w:p>
    <w:p>
      <w:pPr>
        <w:pStyle w:val="ListParagraph"/>
        <w:numPr>
          <w:ilvl w:val="0"/>
          <w:numId w:val="8"/>
        </w:numPr>
        <w:spacing w:after="200"/>
        <w:jc w:val="both"/>
      </w:pPr>
      <w:r>
        <w:rPr>
          <w:sz w:val="24"/>
          <w:szCs w:val="24"/>
        </w:rPr>
        <w:t xml:space="preserve">d’examiner les procès-verbaux de toute réunion du comité d’audit;</w:t>
      </w:r>
    </w:p>
    <w:p>
      <w:pPr>
        <w:pStyle w:val="ListParagraph"/>
        <w:numPr>
          <w:ilvl w:val="0"/>
          <w:numId w:val="8"/>
        </w:numPr>
        <w:spacing w:after="200"/>
        <w:jc w:val="both"/>
      </w:pPr>
      <w:r>
        <w:rPr>
          <w:sz w:val="24"/>
          <w:szCs w:val="24"/>
        </w:rPr>
        <w:t xml:space="preserve">d’examiner avec la direction, les auditeurs externes et, au besoin, un conseiller juridique, tout litige, toute réclamation ou toute autre éventualité, y compris les cotisations fiscales, pouvant avoir une incidence importante sur la situation financière ou les résultats d’exploitation de la Société, ainsi que la manière dont ces questions ont été présentées dans les états financiers consolidés;</w:t>
      </w:r>
    </w:p>
    <w:p>
      <w:pPr>
        <w:pStyle w:val="ListParagraph"/>
        <w:numPr>
          <w:ilvl w:val="0"/>
          <w:numId w:val="8"/>
        </w:numPr>
        <w:spacing w:after="200"/>
        <w:jc w:val="both"/>
      </w:pPr>
      <w:r>
        <w:rPr>
          <w:sz w:val="24"/>
          <w:szCs w:val="24"/>
        </w:rPr>
        <w:t xml:space="preserve">d’examiner le respect par la Société des exigences réglementaires et légales relatives aux états financiers, aux questions fiscales et à la communication des faits importants;</w:t>
      </w:r>
    </w:p>
    <w:p>
      <w:pPr>
        <w:pStyle w:val="ListParagraph"/>
        <w:numPr>
          <w:ilvl w:val="0"/>
          <w:numId w:val="8"/>
        </w:numPr>
        <w:spacing w:after="200"/>
        <w:jc w:val="both"/>
      </w:pPr>
      <w:r>
        <w:rPr>
          <w:sz w:val="24"/>
          <w:szCs w:val="24"/>
        </w:rPr>
        <w:t xml:space="preserve">d’examiner et d’approuver les politiques d’embauche de la Société à l’égard des associés et des employés, actuels et anciens, des auditeurs externes actuels et anciens de la Société; et</w:t>
      </w:r>
    </w:p>
    <w:p>
      <w:pPr>
        <w:pStyle w:val="ListParagraph"/>
        <w:numPr>
          <w:ilvl w:val="0"/>
          <w:numId w:val="8"/>
        </w:numPr>
        <w:spacing w:after="200"/>
        <w:jc w:val="both"/>
      </w:pPr>
      <w:r>
        <w:rPr>
          <w:sz w:val="24"/>
          <w:szCs w:val="24"/>
        </w:rPr>
        <w:t xml:space="preserve">d’établir une procédure visant :</w:t>
      </w:r>
    </w:p>
    <w:p>
      <w:pPr>
        <w:pStyle w:val="ListParagraph"/>
        <w:numPr>
          <w:ilvl w:val="0"/>
          <w:numId w:val="11"/>
        </w:numPr>
        <w:spacing w:after="200"/>
        <w:jc w:val="both"/>
      </w:pPr>
      <w:r>
        <w:rPr>
          <w:sz w:val="24"/>
          <w:szCs w:val="24"/>
        </w:rPr>
        <w:t xml:space="preserve">la transmission confidentielle et anonyme, par les employés de la Société, de préoccupations touchant des points discutables en matière de comptabilité ou d’audit; et</w:t>
      </w:r>
    </w:p>
    <w:p>
      <w:pPr>
        <w:pStyle w:val="ListParagraph"/>
        <w:numPr>
          <w:ilvl w:val="0"/>
          <w:numId w:val="11"/>
        </w:numPr>
        <w:spacing w:after="200"/>
        <w:jc w:val="both"/>
      </w:pPr>
      <w:r>
        <w:rPr>
          <w:sz w:val="24"/>
          <w:szCs w:val="24"/>
        </w:rPr>
        <w:t xml:space="preserve">la réception, la conservation et le traitement des plaintes reçues par la Société au sujet de la comptabilité, des contrôles comptables internes ou de l’audit.</w:t>
      </w:r>
    </w:p>
    <w:p>
      <w:pPr>
        <w:spacing w:after="300"/>
      </w:pPr>
    </w:p>
    <w:p>
      <w:pPr>
        <w:spacing w:after="240"/>
        <w:jc w:val="both"/>
      </w:pPr>
      <w:r>
        <w:rPr>
          <w:i/>
          <w:iCs/>
          <w:sz w:val="24"/>
          <w:szCs w:val="24"/>
        </w:rPr>
        <w:t xml:space="preserve">Approuvée par le conseil d’administration le 8 février 2024.</w:t>
      </w:r>
    </w:p>
    <w:sectPr>
      <w:headerReference w:type="default" r:id="rId7"/>
      <w:headerReference w:type="first" r:id="rId8"/>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40"/>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431"/>
      </w:pPr>
    </w:lvl>
  </w:abstractNum>
  <w:abstractNum w:abstractNumId="3" w15:restartNumberingAfterBreak="0">
    <w:multiLevelType w:val="hybridMultilevel"/>
    <w:lvl w:ilvl="0" w15:tentative="1">
      <w:start w:val="1"/>
      <w:numFmt w:val="bullet"/>
      <w:lvlText w:val="◦"/>
      <w:lvlJc w:val="left"/>
      <w:pPr>
        <w:ind w:left="1080" w:hanging="431"/>
      </w:pPr>
    </w:lvl>
  </w:abstractNum>
  <w:abstractNum w:abstractNumId="4" w15:restartNumberingAfterBreak="0">
    <w:multiLevelType w:val="hybridMultilevel"/>
    <w:lvl w:ilvl="0" w15:tentative="1">
      <w:start w:val="1"/>
      <w:numFmt w:val="decimal"/>
      <w:lvlText w:val="%1."/>
      <w:lvlJc w:val="left"/>
      <w:pPr>
        <w:ind w:left="576" w:hanging="576"/>
      </w:pPr>
    </w:lvl>
  </w:abstractNum>
  <w:abstractNum w:abstractNumId="5" w15:restartNumberingAfterBreak="0">
    <w:multiLevelType w:val="hybridMultilevel"/>
    <w:lvl w:ilvl="0" w15:tentative="1">
      <w:start w:val="1"/>
      <w:numFmt w:val="decimal"/>
      <w:lvlText w:val="%1."/>
      <w:lvlJc w:val="left"/>
      <w:pPr>
        <w:ind w:left="576" w:hanging="576"/>
      </w:pPr>
    </w:lvl>
  </w:abstractNum>
  <w:abstractNum w:abstractNumId="6" w15:restartNumberingAfterBreak="0">
    <w:multiLevelType w:val="hybridMultilevel"/>
    <w:lvl w:ilvl="0" w15:tentative="1">
      <w:start w:val="1"/>
      <w:numFmt w:val="decimal"/>
      <w:lvlText w:val="%1."/>
      <w:lvlJc w:val="left"/>
      <w:pPr>
        <w:ind w:left="576" w:hanging="576"/>
      </w:pPr>
    </w:lvl>
  </w:abstractNum>
  <w:abstractNum w:abstractNumId="7" w15:restartNumberingAfterBreak="0">
    <w:multiLevelType w:val="hybridMultilevel"/>
    <w:lvl w:ilvl="0" w15:tentative="1">
      <w:start w:val="1"/>
      <w:numFmt w:val="decimal"/>
      <w:lvlText w:val="%1."/>
      <w:lvlJc w:val="left"/>
      <w:pPr>
        <w:ind w:left="576" w:hanging="576"/>
      </w:pPr>
    </w:lvl>
  </w:abstractNum>
  <w:abstractNum w:abstractNumId="8" w15:restartNumberingAfterBreak="0">
    <w:multiLevelType w:val="hybridMultilevel"/>
    <w:lvl w:ilvl="0" w15:tentative="1">
      <w:start w:val="1"/>
      <w:numFmt w:val="decimal"/>
      <w:lvlText w:val="%1."/>
      <w:lvlJc w:val="left"/>
      <w:pPr>
        <w:ind w:left="576" w:hanging="576"/>
      </w:pPr>
    </w:lvl>
  </w:abstractNum>
  <w:abstractNum w:abstractNumId="9" w15:restartNumberingAfterBreak="0">
    <w:multiLevelType w:val="hybridMultilevel"/>
    <w:lvl w:ilvl="0" w15:tentative="1">
      <w:start w:val="1"/>
      <w:numFmt w:val="lowerLetter"/>
      <w:lvlText w:val="(%1)"/>
      <w:lvlJc w:val="left"/>
      <w:pPr>
        <w:ind w:left="1440" w:hanging="648"/>
      </w:pPr>
    </w:lvl>
  </w:abstractNum>
  <w:abstractNum w:abstractNumId="10" w15:restartNumberingAfterBreak="0">
    <w:multiLevelType w:val="hybridMultilevel"/>
    <w:lvl w:ilvl="0" w15:tentative="1">
      <w:start w:val="1"/>
      <w:numFmt w:val="lowerLetter"/>
      <w:lvlText w:val="(%1)"/>
      <w:lvlJc w:val="left"/>
      <w:pPr>
        <w:ind w:left="1440" w:hanging="648"/>
      </w:pPr>
    </w:lvl>
  </w:abstractNum>
  <w:abstractNum w:abstractNumId="11" w15:restartNumberingAfterBreak="0">
    <w:multiLevelType w:val="hybridMultilevel"/>
    <w:lvl w:ilvl="0" w15:tentative="1">
      <w:start w:val="1"/>
      <w:numFmt w:val="lowerLetter"/>
      <w:lvlText w:val="(%1)"/>
      <w:lvlJc w:val="left"/>
      <w:pPr>
        <w:ind w:left="1440" w:hanging="648"/>
      </w:pPr>
    </w:lvl>
  </w:abstractNum>
  <w:abstractNum w:abstractNumId="12" w15:restartNumberingAfterBreak="0">
    <w:multiLevelType w:val="hybridMultilevel"/>
    <w:lvl w:ilvl="0" w15:tentative="1">
      <w:start w:val="1"/>
      <w:numFmt w:val="lowerRoman"/>
      <w:lvlText w:val="(%1)"/>
      <w:lvlJc w:val="left"/>
      <w:pPr>
        <w:ind w:left="2304" w:hanging="720"/>
      </w:pPr>
    </w:lvl>
  </w:abstractNum>
  <w:abstractNum w:abstractNumId="13" w15:restartNumberingAfterBreak="0">
    <w:multiLevelType w:val="hybridMultilevel"/>
    <w:lvl w:ilvl="0" w15:tentative="1">
      <w:start w:val="1"/>
      <w:numFmt w:val="lowerLetter"/>
      <w:lvlText w:val="(%1)"/>
      <w:lvlJc w:val="left"/>
      <w:pPr>
        <w:ind w:left="1440" w:hanging="648"/>
      </w:pPr>
    </w:lvl>
  </w:abstractNum>
  <w:abstractNum w:abstractNumId="14" w15:restartNumberingAfterBreak="0">
    <w:multiLevelType w:val="hybridMultilevel"/>
    <w:lvl w:ilvl="0" w15:tentative="1">
      <w:start w:val="1"/>
      <w:numFmt w:val="lowerRoman"/>
      <w:lvlText w:val="(%1)"/>
      <w:lvlJc w:val="left"/>
      <w:pPr>
        <w:ind w:left="2304" w:hanging="720"/>
      </w:pPr>
    </w:lvl>
  </w:abstractNum>
  <w:abstractNum w:abstractNumId="15" w15:restartNumberingAfterBreak="0">
    <w:multiLevelType w:val="hybridMultilevel"/>
    <w:lvl w:ilvl="0" w15:tentative="1">
      <w:start w:val="1"/>
      <w:numFmt w:val="lowerLetter"/>
      <w:lvlText w:val="(%1)"/>
      <w:lvlJc w:val="left"/>
      <w:pPr>
        <w:ind w:left="1440" w:hanging="648"/>
      </w:pPr>
    </w:lvl>
  </w:abstractNum>
  <w:abstractNum w:abstractNumId="16" w15:restartNumberingAfterBreak="0">
    <w:multiLevelType w:val="hybridMultilevel"/>
    <w:lvl w:ilvl="0" w15:tentative="1">
      <w:start w:val="1"/>
      <w:numFmt w:val="lowerRoman"/>
      <w:lvlText w:val="(%1)"/>
      <w:lvlJc w:val="left"/>
      <w:pPr>
        <w:ind w:left="2304" w:hanging="720"/>
      </w:pPr>
    </w:lvl>
  </w:abstractNum>
  <w:abstractNum w:abstractNumId="17" w15:restartNumberingAfterBreak="0">
    <w:multiLevelType w:val="hybridMultilevel"/>
    <w:lvl w:ilvl="0" w15:tentative="1">
      <w:start w:val="1"/>
      <w:numFmt w:val="lowerLetter"/>
      <w:lvlText w:val="(%1)"/>
      <w:lvlJc w:val="left"/>
      <w:pPr>
        <w:ind w:left="1440" w:hanging="648"/>
      </w:pPr>
    </w:lvl>
  </w:abstractNum>
  <w:abstractNum w:abstractNumId="18" w15:restartNumberingAfterBreak="0">
    <w:multiLevelType w:val="hybridMultilevel"/>
    <w:lvl w:ilvl="0" w15:tentative="1">
      <w:start w:val="1"/>
      <w:numFmt w:val="lowerRoman"/>
      <w:lvlText w:val="(%1)"/>
      <w:lvlJc w:val="left"/>
      <w:pPr>
        <w:ind w:left="2304" w:hanging="720"/>
      </w:pPr>
    </w:lvl>
  </w:abstractNum>
  <w:abstractNum w:abstractNumId="19" w15:restartNumberingAfterBreak="0">
    <w:multiLevelType w:val="hybridMultilevel"/>
    <w:lvl w:ilvl="0" w15:tentative="1">
      <w:start w:val="1"/>
      <w:numFmt w:val="lowerLetter"/>
      <w:lvlText w:val="(%1)"/>
      <w:lvlJc w:val="left"/>
      <w:pPr>
        <w:ind w:left="1440" w:hanging="648"/>
      </w:pPr>
    </w:lvl>
  </w:abstractNum>
  <w:abstractNum w:abstractNumId="20" w15:restartNumberingAfterBreak="0">
    <w:multiLevelType w:val="hybridMultilevel"/>
    <w:lvl w:ilvl="0" w15:tentative="1">
      <w:start w:val="1"/>
      <w:numFmt w:val="lowerRoman"/>
      <w:lvlText w:val="(%1)"/>
      <w:lvlJc w:val="left"/>
      <w:pPr>
        <w:ind w:left="2304" w:hanging="720"/>
      </w:pPr>
    </w:lvl>
  </w:abstractNum>
  <w:abstractNum w:abstractNumId="21" w15:restartNumberingAfterBreak="0">
    <w:multiLevelType w:val="hybridMultilevel"/>
    <w:lvl w:ilvl="0" w15:tentative="1">
      <w:start w:val="1"/>
      <w:numFmt w:val="lowerLetter"/>
      <w:lvlText w:val="(%1)"/>
      <w:lvlJc w:val="left"/>
      <w:pPr>
        <w:ind w:left="1440" w:hanging="648"/>
      </w:pPr>
    </w:lvl>
  </w:abstractNum>
  <w:abstractNum w:abstractNumId="22" w15:restartNumberingAfterBreak="0">
    <w:multiLevelType w:val="hybridMultilevel"/>
    <w:lvl w:ilvl="0" w15:tentative="1">
      <w:start w:val="1"/>
      <w:numFmt w:val="lowerRoman"/>
      <w:lvlText w:val="(%1)"/>
      <w:lvlJc w:val="left"/>
      <w:pPr>
        <w:ind w:left="2304" w:hanging="720"/>
      </w:pPr>
    </w:lvl>
  </w:abstractNum>
  <w:abstractNum w:abstractNumId="23" w15:restartNumberingAfterBreak="0">
    <w:multiLevelType w:val="hybridMultilevel"/>
    <w:lvl w:ilvl="0" w15:tentative="1">
      <w:start w:val="1"/>
      <w:numFmt w:val="lowerLetter"/>
      <w:lvlText w:val="(%1)"/>
      <w:lvlJc w:val="left"/>
      <w:pPr>
        <w:ind w:left="1440" w:hanging="648"/>
      </w:pPr>
    </w:lvl>
  </w:abstractNum>
  <w:abstractNum w:abstractNumId="24" w15:restartNumberingAfterBreak="0">
    <w:multiLevelType w:val="hybridMultilevel"/>
    <w:lvl w:ilvl="0" w15:tentative="1">
      <w:start w:val="1"/>
      <w:numFmt w:val="lowerRoman"/>
      <w:lvlText w:val="(%1)"/>
      <w:lvlJc w:val="left"/>
      <w:pPr>
        <w:ind w:left="2304" w:hanging="720"/>
      </w:pPr>
    </w:lvl>
  </w:abstractNum>
  <w:abstractNum w:abstractNumId="25" w15:restartNumberingAfterBreak="0">
    <w:multiLevelType w:val="hybridMultilevel"/>
    <w:lvl w:ilvl="0" w15:tentative="1">
      <w:start w:val="1"/>
      <w:numFmt w:val="lowerLetter"/>
      <w:lvlText w:val="(%1)"/>
      <w:lvlJc w:val="left"/>
      <w:pPr>
        <w:ind w:left="1440" w:hanging="648"/>
      </w:pPr>
    </w:lvl>
  </w:abstractNum>
  <w:abstractNum w:abstractNumId="26" w15:restartNumberingAfterBreak="0">
    <w:multiLevelType w:val="hybridMultilevel"/>
    <w:lvl w:ilvl="0" w15:tentative="1">
      <w:start w:val="1"/>
      <w:numFmt w:val="lowerRoman"/>
      <w:lvlText w:val="(%1)"/>
      <w:lvlJc w:val="left"/>
      <w:pPr>
        <w:ind w:left="2304" w:hanging="720"/>
      </w:pPr>
    </w:lvl>
  </w:abstractNum>
  <w:abstractNum w:abstractNumId="27" w15:restartNumberingAfterBreak="0">
    <w:multiLevelType w:val="hybridMultilevel"/>
    <w:lvl w:ilvl="0" w15:tentative="1">
      <w:start w:val="1"/>
      <w:numFmt w:val="lowerLetter"/>
      <w:lvlText w:val="(%1)"/>
      <w:lvlJc w:val="left"/>
      <w:pPr>
        <w:ind w:left="1440" w:hanging="648"/>
      </w:pPr>
    </w:lvl>
  </w:abstractNum>
  <w:abstractNum w:abstractNumId="28" w15:restartNumberingAfterBreak="0">
    <w:multiLevelType w:val="hybridMultilevel"/>
    <w:lvl w:ilvl="0" w15:tentative="1">
      <w:start w:val="1"/>
      <w:numFmt w:val="lowerRoman"/>
      <w:lvlText w:val="(%1)"/>
      <w:lvlJc w:val="left"/>
      <w:pPr>
        <w:ind w:left="2304" w:hanging="720"/>
      </w:pPr>
    </w:lvl>
  </w:abstractNum>
  <w:abstractNum w:abstractNumId="29" w15:restartNumberingAfterBreak="0">
    <w:multiLevelType w:val="hybridMultilevel"/>
    <w:lvl w:ilvl="0" w15:tentative="1">
      <w:start w:val="1"/>
      <w:numFmt w:val="lowerLetter"/>
      <w:lvlText w:val="(%1)"/>
      <w:lvlJc w:val="left"/>
      <w:pPr>
        <w:ind w:left="1440" w:hanging="648"/>
      </w:pPr>
    </w:lvl>
  </w:abstractNum>
  <w:abstractNum w:abstractNumId="30" w15:restartNumberingAfterBreak="0">
    <w:multiLevelType w:val="hybridMultilevel"/>
    <w:lvl w:ilvl="0" w15:tentative="1">
      <w:start w:val="1"/>
      <w:numFmt w:val="lowerRoman"/>
      <w:lvlText w:val="(%1)"/>
      <w:lvlJc w:val="left"/>
      <w:pPr>
        <w:ind w:left="2304" w:hanging="720"/>
      </w:pPr>
    </w:lvl>
  </w:abstractNum>
  <w:abstractNum w:abstractNumId="31" w15:restartNumberingAfterBreak="0">
    <w:multiLevelType w:val="hybridMultilevel"/>
    <w:lvl w:ilvl="0" w15:tentative="1">
      <w:start w:val="1"/>
      <w:numFmt w:val="lowerLetter"/>
      <w:lvlText w:val="(%1)"/>
      <w:lvlJc w:val="left"/>
      <w:pPr>
        <w:ind w:left="1440" w:hanging="648"/>
      </w:pPr>
    </w:lvl>
  </w:abstractNum>
  <w:abstractNum w:abstractNumId="32" w15:restartNumberingAfterBreak="0">
    <w:multiLevelType w:val="hybridMultilevel"/>
    <w:lvl w:ilvl="0" w15:tentative="1">
      <w:start w:val="1"/>
      <w:numFmt w:val="lowerRoman"/>
      <w:lvlText w:val="(%1)"/>
      <w:lvlJc w:val="left"/>
      <w:pPr>
        <w:ind w:left="2304" w:hanging="720"/>
      </w:pPr>
    </w:lvl>
  </w:abstractNum>
  <w:abstractNum w:abstractNumId="33" w15:restartNumberingAfterBreak="0">
    <w:multiLevelType w:val="hybridMultilevel"/>
    <w:lvl w:ilvl="0" w15:tentative="1">
      <w:start w:val="1"/>
      <w:numFmt w:val="lowerLetter"/>
      <w:lvlText w:val="(%1)"/>
      <w:lvlJc w:val="left"/>
      <w:pPr>
        <w:ind w:left="1440" w:hanging="648"/>
      </w:pPr>
    </w:lvl>
  </w:abstractNum>
  <w:abstractNum w:abstractNumId="34" w15:restartNumberingAfterBreak="0">
    <w:multiLevelType w:val="hybridMultilevel"/>
    <w:lvl w:ilvl="0" w15:tentative="1">
      <w:start w:val="1"/>
      <w:numFmt w:val="lowerRoman"/>
      <w:lvlText w:val="(%1)"/>
      <w:lvlJc w:val="left"/>
      <w:pPr>
        <w:ind w:left="2304" w:hanging="720"/>
      </w:pPr>
    </w:lvl>
  </w:abstractNum>
  <w:abstractNum w:abstractNumId="35" w15:restartNumberingAfterBreak="0">
    <w:multiLevelType w:val="hybridMultilevel"/>
    <w:lvl w:ilvl="0" w15:tentative="1">
      <w:start w:val="1"/>
      <w:numFmt w:val="lowerLetter"/>
      <w:lvlText w:val="(%1)"/>
      <w:lvlJc w:val="left"/>
      <w:pPr>
        <w:ind w:left="1440" w:hanging="648"/>
      </w:pPr>
    </w:lvl>
  </w:abstractNum>
  <w:abstractNum w:abstractNumId="36" w15:restartNumberingAfterBreak="0">
    <w:multiLevelType w:val="hybridMultilevel"/>
    <w:lvl w:ilvl="0" w15:tentative="1">
      <w:start w:val="1"/>
      <w:numFmt w:val="lowerRoman"/>
      <w:lvlText w:val="(%1)"/>
      <w:lvlJc w:val="left"/>
      <w:pPr>
        <w:ind w:left="2304" w:hanging="720"/>
      </w:pPr>
    </w:lvl>
  </w:abstractNum>
  <w:num w:numId="1">
    <w:abstractNumId w:val="1"/>
    <w:lvlOverride w:ilvl="0">
      <w:startOverride w:val="1"/>
    </w:lvlOverride>
  </w:num>
  <w:num w:numId="2">
    <w:abstractNumId w:val="9"/>
    <w:lvlOverride w:ilvl="0">
      <w:startOverride w:val="1"/>
    </w:lvlOverride>
  </w:num>
  <w:num w:numId="3">
    <w:abstractNumId w:val="10"/>
    <w:lvlOverride w:ilvl="0">
      <w:startOverride w:val="1"/>
    </w:lvlOverride>
  </w:num>
  <w:num w:numId="4">
    <w:abstractNumId w:val="11"/>
    <w:lvlOverride w:ilvl="0">
      <w:startOverride w:val="1"/>
    </w:lvlOverride>
  </w:num>
  <w:num w:numId="5">
    <w:abstractNumId w:val="14"/>
    <w:lvlOverride w:ilvl="0">
      <w:startOverride w:val="1"/>
    </w:lvlOverride>
  </w:num>
  <w:num w:numId="6">
    <w:abstractNumId w:val="13"/>
    <w:lvlOverride w:ilvl="0">
      <w:startOverride w:val="1"/>
    </w:lvlOverride>
  </w:num>
  <w:num w:numId="7">
    <w:abstractNumId w:val="15"/>
    <w:lvlOverride w:ilvl="0">
      <w:startOverride w:val="1"/>
    </w:lvlOverride>
  </w:num>
  <w:num w:numId="8">
    <w:abstractNumId w:val="17"/>
    <w:lvlOverride w:ilvl="0">
      <w:startOverride w:val="1"/>
    </w:lvlOverride>
  </w:num>
  <w:num w:numId="9">
    <w:abstractNumId w:val="16"/>
    <w:lvlOverride w:ilvl="0">
      <w:startOverride w:val="1"/>
    </w:lvlOverride>
  </w:num>
  <w:num w:numId="10">
    <w:abstractNumId w:val="18"/>
    <w:lvlOverride w:ilvl="0">
      <w:startOverride w:val="1"/>
    </w:lvlOverride>
  </w:num>
  <w:num w:numId="11">
    <w:abstractNumId w:val="2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2026-09-02T15:55:00.613Z</dcterms:created>
  <dcterms:modified xsi:type="dcterms:W3CDTF">2026-09-02T15:55:00.613Z</dcterms:modified>
</cp:coreProperties>
</file>

<file path=docProps/custom.xml><?xml version="1.0" encoding="utf-8"?>
<Properties xmlns="http://schemas.openxmlformats.org/officeDocument/2006/custom-properties" xmlns:vt="http://schemas.openxmlformats.org/officeDocument/2006/docPropsVTypes"/>
</file>