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550B"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3D9B77AA"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13C6BDDD"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0F8A2CEC"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2AAA4407"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6E54FD1A"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0FEB002F"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5CD166BB"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1F9A96A9"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A9DF28C"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11A0B59" w14:textId="77777777"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p>
    <w:p w14:paraId="7CD163E5" w14:textId="0EAC11B9"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Cygnum Capital A</w:t>
      </w:r>
      <w:r w:rsidR="00BC072B">
        <w:rPr>
          <w:rFonts w:ascii="Calibri" w:hAnsi="Calibri" w:cs="Calibri"/>
          <w:b/>
          <w:bCs/>
          <w:caps/>
          <w:noProof/>
          <w:color w:val="1F4967"/>
          <w:sz w:val="28"/>
          <w:szCs w:val="28"/>
        </w:rPr>
        <w:t xml:space="preserve">DVISORY </w:t>
      </w:r>
      <w:r w:rsidRPr="007A7E62">
        <w:rPr>
          <w:rFonts w:ascii="Calibri" w:hAnsi="Calibri" w:cs="Calibri"/>
          <w:b/>
          <w:bCs/>
          <w:caps/>
          <w:noProof/>
          <w:color w:val="1F4967"/>
          <w:sz w:val="28"/>
          <w:szCs w:val="28"/>
        </w:rPr>
        <w:t>Limited</w:t>
      </w:r>
    </w:p>
    <w:p w14:paraId="07F2319F" w14:textId="77777777"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MIFIDPRU 8 DISCLOSURE</w:t>
      </w:r>
    </w:p>
    <w:p w14:paraId="716643C0" w14:textId="1D6A0ECE" w:rsidR="00E83089" w:rsidRPr="007A7E62" w:rsidRDefault="00E83089" w:rsidP="007A7E62">
      <w:pPr>
        <w:suppressAutoHyphens w:val="0"/>
        <w:autoSpaceDN/>
        <w:spacing w:line="278" w:lineRule="auto"/>
        <w:jc w:val="center"/>
        <w:rPr>
          <w:rFonts w:ascii="Calibri" w:hAnsi="Calibri" w:cs="Calibri"/>
          <w:b/>
          <w:bCs/>
          <w:caps/>
          <w:noProof/>
          <w:color w:val="1F4967"/>
          <w:sz w:val="28"/>
          <w:szCs w:val="28"/>
        </w:rPr>
      </w:pPr>
      <w:r w:rsidRPr="007A7E62">
        <w:rPr>
          <w:rFonts w:ascii="Calibri" w:hAnsi="Calibri" w:cs="Calibri"/>
          <w:b/>
          <w:bCs/>
          <w:caps/>
          <w:noProof/>
          <w:color w:val="1F4967"/>
          <w:sz w:val="28"/>
          <w:szCs w:val="28"/>
        </w:rPr>
        <w:t>Financial year ended 31 December 202</w:t>
      </w:r>
      <w:r w:rsidR="007A7E62">
        <w:rPr>
          <w:rFonts w:ascii="Calibri" w:hAnsi="Calibri" w:cs="Calibri"/>
          <w:b/>
          <w:bCs/>
          <w:caps/>
          <w:noProof/>
          <w:color w:val="1F4967"/>
          <w:sz w:val="28"/>
          <w:szCs w:val="28"/>
        </w:rPr>
        <w:t>5</w:t>
      </w:r>
    </w:p>
    <w:p w14:paraId="32F18D66" w14:textId="77777777" w:rsidR="00E83089" w:rsidRPr="00E83089" w:rsidRDefault="00E83089" w:rsidP="00E83089">
      <w:pPr>
        <w:suppressAutoHyphens w:val="0"/>
        <w:autoSpaceDN/>
        <w:spacing w:line="278" w:lineRule="auto"/>
        <w:jc w:val="both"/>
        <w:rPr>
          <w:rFonts w:ascii="Calibri" w:hAnsi="Calibri" w:cs="Calibri"/>
        </w:rPr>
      </w:pPr>
    </w:p>
    <w:p w14:paraId="12C6FEE0" w14:textId="16DCE2B2" w:rsidR="00E83089" w:rsidRPr="00E83089" w:rsidRDefault="00E83089" w:rsidP="00E83089">
      <w:pPr>
        <w:suppressAutoHyphens w:val="0"/>
        <w:autoSpaceDN/>
        <w:spacing w:line="278" w:lineRule="auto"/>
        <w:jc w:val="both"/>
        <w:rPr>
          <w:rFonts w:ascii="Calibri" w:hAnsi="Calibri" w:cs="Calibri"/>
          <w:b/>
          <w:bCs/>
          <w:caps/>
          <w:noProof/>
          <w:color w:val="1F4967"/>
          <w:sz w:val="20"/>
          <w:szCs w:val="20"/>
        </w:rPr>
      </w:pPr>
      <w:r w:rsidRPr="00E83089">
        <w:rPr>
          <w:rFonts w:ascii="Calibri" w:hAnsi="Calibri" w:cs="Calibri"/>
        </w:rPr>
        <w:br w:type="page"/>
      </w:r>
    </w:p>
    <w:p w14:paraId="24B9C493" w14:textId="4532956E" w:rsidR="00015A1E" w:rsidRPr="00015A1E" w:rsidRDefault="00AD51B9">
      <w:pPr>
        <w:pStyle w:val="TOC1"/>
        <w:rPr>
          <w:rFonts w:ascii="Calibri" w:eastAsiaTheme="minorEastAsia" w:hAnsi="Calibri" w:cs="Calibri"/>
          <w:b w:val="0"/>
          <w:bCs w:val="0"/>
          <w:caps w:val="0"/>
          <w:color w:val="auto"/>
          <w:kern w:val="2"/>
          <w:sz w:val="24"/>
          <w:szCs w:val="24"/>
          <w:lang w:eastAsia="en-GB"/>
          <w14:ligatures w14:val="standardContextual"/>
        </w:rPr>
      </w:pPr>
      <w:r w:rsidRPr="00522A9A">
        <w:rPr>
          <w:rFonts w:ascii="Calibri" w:hAnsi="Calibri" w:cs="Calibri"/>
        </w:rPr>
        <w:lastRenderedPageBreak/>
        <w:fldChar w:fldCharType="begin"/>
      </w:r>
      <w:r w:rsidRPr="00522A9A">
        <w:rPr>
          <w:rFonts w:ascii="Calibri" w:hAnsi="Calibri" w:cs="Calibri"/>
        </w:rPr>
        <w:instrText xml:space="preserve"> TOC \h \z \t "HeadingA,1,HeadingB,2" </w:instrText>
      </w:r>
      <w:r w:rsidRPr="00522A9A">
        <w:rPr>
          <w:rFonts w:ascii="Calibri" w:hAnsi="Calibri" w:cs="Calibri"/>
        </w:rPr>
        <w:fldChar w:fldCharType="separate"/>
      </w:r>
      <w:hyperlink w:anchor="_Toc235519683" w:history="1">
        <w:r w:rsidR="00015A1E" w:rsidRPr="00015A1E">
          <w:rPr>
            <w:rStyle w:val="Hyperlink"/>
            <w:rFonts w:ascii="Calibri" w:hAnsi="Calibri" w:cs="Calibri"/>
          </w:rPr>
          <w:t>1.</w:t>
        </w:r>
        <w:r w:rsidR="00015A1E" w:rsidRPr="00015A1E">
          <w:rPr>
            <w:rFonts w:ascii="Calibri" w:eastAsiaTheme="minorEastAsia" w:hAnsi="Calibri" w:cs="Calibri"/>
            <w:b w:val="0"/>
            <w:bCs w:val="0"/>
            <w:caps w:val="0"/>
            <w:color w:val="auto"/>
            <w:kern w:val="2"/>
            <w:sz w:val="24"/>
            <w:szCs w:val="24"/>
            <w:lang w:eastAsia="en-GB"/>
            <w14:ligatures w14:val="standardContextual"/>
          </w:rPr>
          <w:tab/>
        </w:r>
        <w:r w:rsidR="00015A1E" w:rsidRPr="00015A1E">
          <w:rPr>
            <w:rStyle w:val="Hyperlink"/>
            <w:rFonts w:ascii="Calibri" w:hAnsi="Calibri" w:cs="Calibri"/>
          </w:rPr>
          <w:t>Introduction</w:t>
        </w:r>
        <w:r w:rsidR="00015A1E" w:rsidRPr="00015A1E">
          <w:rPr>
            <w:rFonts w:ascii="Calibri" w:hAnsi="Calibri" w:cs="Calibri"/>
            <w:webHidden/>
          </w:rPr>
          <w:tab/>
        </w:r>
        <w:r w:rsidR="00015A1E" w:rsidRPr="00015A1E">
          <w:rPr>
            <w:rFonts w:ascii="Calibri" w:hAnsi="Calibri" w:cs="Calibri"/>
            <w:webHidden/>
          </w:rPr>
          <w:fldChar w:fldCharType="begin"/>
        </w:r>
        <w:r w:rsidR="00015A1E" w:rsidRPr="00015A1E">
          <w:rPr>
            <w:rFonts w:ascii="Calibri" w:hAnsi="Calibri" w:cs="Calibri"/>
            <w:webHidden/>
          </w:rPr>
          <w:instrText xml:space="preserve"> PAGEREF _Toc235519683 \h </w:instrText>
        </w:r>
        <w:r w:rsidR="00015A1E" w:rsidRPr="00015A1E">
          <w:rPr>
            <w:rFonts w:ascii="Calibri" w:hAnsi="Calibri" w:cs="Calibri"/>
            <w:webHidden/>
          </w:rPr>
        </w:r>
        <w:r w:rsidR="00015A1E" w:rsidRPr="00015A1E">
          <w:rPr>
            <w:rFonts w:ascii="Calibri" w:hAnsi="Calibri" w:cs="Calibri"/>
            <w:webHidden/>
          </w:rPr>
          <w:fldChar w:fldCharType="separate"/>
        </w:r>
        <w:r w:rsidR="00015A1E" w:rsidRPr="00015A1E">
          <w:rPr>
            <w:rFonts w:ascii="Calibri" w:hAnsi="Calibri" w:cs="Calibri"/>
            <w:webHidden/>
          </w:rPr>
          <w:t>3</w:t>
        </w:r>
        <w:r w:rsidR="00015A1E" w:rsidRPr="00015A1E">
          <w:rPr>
            <w:rFonts w:ascii="Calibri" w:hAnsi="Calibri" w:cs="Calibri"/>
            <w:webHidden/>
          </w:rPr>
          <w:fldChar w:fldCharType="end"/>
        </w:r>
      </w:hyperlink>
    </w:p>
    <w:p w14:paraId="05B70297" w14:textId="28379BFD"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84" w:history="1">
        <w:r w:rsidRPr="00015A1E">
          <w:rPr>
            <w:rStyle w:val="Hyperlink"/>
            <w:rFonts w:ascii="Calibri" w:hAnsi="Calibri" w:cs="Calibri"/>
            <w:noProof/>
          </w:rPr>
          <w:t>1.1.</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Basis of Disclosure</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_Toc235519684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3</w:t>
        </w:r>
        <w:r w:rsidRPr="00015A1E">
          <w:rPr>
            <w:rFonts w:ascii="Calibri" w:hAnsi="Calibri" w:cs="Calibri"/>
            <w:noProof/>
            <w:webHidden/>
          </w:rPr>
          <w:fldChar w:fldCharType="end"/>
        </w:r>
      </w:hyperlink>
    </w:p>
    <w:p w14:paraId="58EAFD65" w14:textId="4B0328AA"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85" w:history="1">
        <w:r w:rsidRPr="00015A1E">
          <w:rPr>
            <w:rStyle w:val="Hyperlink"/>
            <w:rFonts w:ascii="Calibri" w:hAnsi="Calibri" w:cs="Calibri"/>
            <w:noProof/>
          </w:rPr>
          <w:t>1.2.</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Frequency of Disclosure</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_Toc235519685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3</w:t>
        </w:r>
        <w:r w:rsidRPr="00015A1E">
          <w:rPr>
            <w:rFonts w:ascii="Calibri" w:hAnsi="Calibri" w:cs="Calibri"/>
            <w:noProof/>
            <w:webHidden/>
          </w:rPr>
          <w:fldChar w:fldCharType="end"/>
        </w:r>
      </w:hyperlink>
    </w:p>
    <w:p w14:paraId="4A0801C7" w14:textId="3A6FCDBD"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86" w:history="1">
        <w:r w:rsidRPr="00015A1E">
          <w:rPr>
            <w:rStyle w:val="Hyperlink"/>
            <w:rFonts w:ascii="Calibri" w:hAnsi="Calibri" w:cs="Calibri"/>
            <w:noProof/>
          </w:rPr>
          <w:t>1.3.</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Approval and Publication</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_Toc235519686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3</w:t>
        </w:r>
        <w:r w:rsidRPr="00015A1E">
          <w:rPr>
            <w:rFonts w:ascii="Calibri" w:hAnsi="Calibri" w:cs="Calibri"/>
            <w:noProof/>
            <w:webHidden/>
          </w:rPr>
          <w:fldChar w:fldCharType="end"/>
        </w:r>
      </w:hyperlink>
    </w:p>
    <w:p w14:paraId="30391353" w14:textId="72344E66" w:rsidR="00015A1E" w:rsidRPr="00015A1E" w:rsidRDefault="00015A1E">
      <w:pPr>
        <w:pStyle w:val="TOC1"/>
        <w:rPr>
          <w:rFonts w:ascii="Calibri" w:eastAsiaTheme="minorEastAsia" w:hAnsi="Calibri" w:cs="Calibri"/>
          <w:b w:val="0"/>
          <w:bCs w:val="0"/>
          <w:caps w:val="0"/>
          <w:color w:val="auto"/>
          <w:kern w:val="2"/>
          <w:sz w:val="24"/>
          <w:szCs w:val="24"/>
          <w:lang w:eastAsia="en-GB"/>
          <w14:ligatures w14:val="standardContextual"/>
        </w:rPr>
      </w:pPr>
      <w:hyperlink w:anchor="_Toc235519687" w:history="1">
        <w:r w:rsidRPr="00015A1E">
          <w:rPr>
            <w:rStyle w:val="Hyperlink"/>
            <w:rFonts w:ascii="Calibri" w:hAnsi="Calibri" w:cs="Calibri"/>
          </w:rPr>
          <w:t>2.</w:t>
        </w:r>
        <w:r w:rsidRPr="00015A1E">
          <w:rPr>
            <w:rFonts w:ascii="Calibri" w:eastAsiaTheme="minorEastAsia" w:hAnsi="Calibri" w:cs="Calibri"/>
            <w:b w:val="0"/>
            <w:bCs w:val="0"/>
            <w:caps w:val="0"/>
            <w:color w:val="auto"/>
            <w:kern w:val="2"/>
            <w:sz w:val="24"/>
            <w:szCs w:val="24"/>
            <w:lang w:eastAsia="en-GB"/>
            <w14:ligatures w14:val="standardContextual"/>
          </w:rPr>
          <w:tab/>
        </w:r>
        <w:r w:rsidRPr="00015A1E">
          <w:rPr>
            <w:rStyle w:val="Hyperlink"/>
            <w:rFonts w:ascii="Calibri" w:hAnsi="Calibri" w:cs="Calibri"/>
          </w:rPr>
          <w:t>Remuneration Policy and Practices</w:t>
        </w:r>
        <w:r w:rsidRPr="00015A1E">
          <w:rPr>
            <w:rFonts w:ascii="Calibri" w:hAnsi="Calibri" w:cs="Calibri"/>
            <w:webHidden/>
          </w:rPr>
          <w:tab/>
        </w:r>
        <w:r w:rsidRPr="00015A1E">
          <w:rPr>
            <w:rFonts w:ascii="Calibri" w:hAnsi="Calibri" w:cs="Calibri"/>
            <w:webHidden/>
          </w:rPr>
          <w:fldChar w:fldCharType="begin"/>
        </w:r>
        <w:r w:rsidRPr="00015A1E">
          <w:rPr>
            <w:rFonts w:ascii="Calibri" w:hAnsi="Calibri" w:cs="Calibri"/>
            <w:webHidden/>
          </w:rPr>
          <w:instrText xml:space="preserve"> PAGEREF _Toc235519687 \h </w:instrText>
        </w:r>
        <w:r w:rsidRPr="00015A1E">
          <w:rPr>
            <w:rFonts w:ascii="Calibri" w:hAnsi="Calibri" w:cs="Calibri"/>
            <w:webHidden/>
          </w:rPr>
        </w:r>
        <w:r w:rsidRPr="00015A1E">
          <w:rPr>
            <w:rFonts w:ascii="Calibri" w:hAnsi="Calibri" w:cs="Calibri"/>
            <w:webHidden/>
          </w:rPr>
          <w:fldChar w:fldCharType="separate"/>
        </w:r>
        <w:r w:rsidRPr="00015A1E">
          <w:rPr>
            <w:rFonts w:ascii="Calibri" w:hAnsi="Calibri" w:cs="Calibri"/>
            <w:webHidden/>
          </w:rPr>
          <w:t>3</w:t>
        </w:r>
        <w:r w:rsidRPr="00015A1E">
          <w:rPr>
            <w:rFonts w:ascii="Calibri" w:hAnsi="Calibri" w:cs="Calibri"/>
            <w:webHidden/>
          </w:rPr>
          <w:fldChar w:fldCharType="end"/>
        </w:r>
      </w:hyperlink>
    </w:p>
    <w:p w14:paraId="18A71D70" w14:textId="1DA1A95A"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88" w:history="1">
        <w:r w:rsidRPr="00015A1E">
          <w:rPr>
            <w:rStyle w:val="Hyperlink"/>
            <w:rFonts w:ascii="Calibri" w:hAnsi="Calibri" w:cs="Calibri"/>
            <w:noProof/>
          </w:rPr>
          <w:t>2.1.</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Remuneration Approach</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_Toc235519688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3</w:t>
        </w:r>
        <w:r w:rsidRPr="00015A1E">
          <w:rPr>
            <w:rFonts w:ascii="Calibri" w:hAnsi="Calibri" w:cs="Calibri"/>
            <w:noProof/>
            <w:webHidden/>
          </w:rPr>
          <w:fldChar w:fldCharType="end"/>
        </w:r>
      </w:hyperlink>
    </w:p>
    <w:p w14:paraId="5E2113B3" w14:textId="0EA2858B"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89" w:history="1">
        <w:r w:rsidRPr="00015A1E">
          <w:rPr>
            <w:rStyle w:val="Hyperlink"/>
            <w:rFonts w:ascii="Calibri" w:hAnsi="Calibri" w:cs="Calibri"/>
            <w:noProof/>
          </w:rPr>
          <w:t>2.2.</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Equality and Diversity</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_Toc235519689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4</w:t>
        </w:r>
        <w:r w:rsidRPr="00015A1E">
          <w:rPr>
            <w:rFonts w:ascii="Calibri" w:hAnsi="Calibri" w:cs="Calibri"/>
            <w:noProof/>
            <w:webHidden/>
          </w:rPr>
          <w:fldChar w:fldCharType="end"/>
        </w:r>
      </w:hyperlink>
    </w:p>
    <w:p w14:paraId="35FD94D7" w14:textId="261E6FA8"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90" w:history="1">
        <w:r w:rsidRPr="00015A1E">
          <w:rPr>
            <w:rStyle w:val="Hyperlink"/>
            <w:rFonts w:ascii="Calibri" w:hAnsi="Calibri" w:cs="Calibri"/>
            <w:noProof/>
          </w:rPr>
          <w:t>2.3.</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Conflicts of Interest</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_Toc235519690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4</w:t>
        </w:r>
        <w:r w:rsidRPr="00015A1E">
          <w:rPr>
            <w:rFonts w:ascii="Calibri" w:hAnsi="Calibri" w:cs="Calibri"/>
            <w:noProof/>
            <w:webHidden/>
          </w:rPr>
          <w:fldChar w:fldCharType="end"/>
        </w:r>
      </w:hyperlink>
    </w:p>
    <w:p w14:paraId="5C43DBA3" w14:textId="4FA160E3" w:rsidR="00015A1E" w:rsidRPr="00015A1E" w:rsidRDefault="00015A1E">
      <w:pPr>
        <w:pStyle w:val="TOC1"/>
        <w:rPr>
          <w:rFonts w:ascii="Calibri" w:eastAsiaTheme="minorEastAsia" w:hAnsi="Calibri" w:cs="Calibri"/>
          <w:b w:val="0"/>
          <w:bCs w:val="0"/>
          <w:caps w:val="0"/>
          <w:color w:val="auto"/>
          <w:kern w:val="2"/>
          <w:sz w:val="24"/>
          <w:szCs w:val="24"/>
          <w:lang w:eastAsia="en-GB"/>
          <w14:ligatures w14:val="standardContextual"/>
        </w:rPr>
      </w:pPr>
      <w:hyperlink w:anchor="_Toc235519691" w:history="1">
        <w:r w:rsidRPr="00015A1E">
          <w:rPr>
            <w:rStyle w:val="Hyperlink"/>
            <w:rFonts w:ascii="Calibri" w:hAnsi="Calibri" w:cs="Calibri"/>
          </w:rPr>
          <w:t>3.</w:t>
        </w:r>
        <w:r w:rsidRPr="00015A1E">
          <w:rPr>
            <w:rFonts w:ascii="Calibri" w:eastAsiaTheme="minorEastAsia" w:hAnsi="Calibri" w:cs="Calibri"/>
            <w:b w:val="0"/>
            <w:bCs w:val="0"/>
            <w:caps w:val="0"/>
            <w:color w:val="auto"/>
            <w:kern w:val="2"/>
            <w:sz w:val="24"/>
            <w:szCs w:val="24"/>
            <w:lang w:eastAsia="en-GB"/>
            <w14:ligatures w14:val="standardContextual"/>
          </w:rPr>
          <w:tab/>
        </w:r>
        <w:r w:rsidRPr="00015A1E">
          <w:rPr>
            <w:rStyle w:val="Hyperlink"/>
            <w:rFonts w:ascii="Calibri" w:hAnsi="Calibri" w:cs="Calibri"/>
          </w:rPr>
          <w:t>Remuneration Characteristics</w:t>
        </w:r>
        <w:r w:rsidRPr="00015A1E">
          <w:rPr>
            <w:rFonts w:ascii="Calibri" w:hAnsi="Calibri" w:cs="Calibri"/>
            <w:webHidden/>
          </w:rPr>
          <w:tab/>
        </w:r>
        <w:r w:rsidRPr="00015A1E">
          <w:rPr>
            <w:rFonts w:ascii="Calibri" w:hAnsi="Calibri" w:cs="Calibri"/>
            <w:webHidden/>
          </w:rPr>
          <w:fldChar w:fldCharType="begin"/>
        </w:r>
        <w:r w:rsidRPr="00015A1E">
          <w:rPr>
            <w:rFonts w:ascii="Calibri" w:hAnsi="Calibri" w:cs="Calibri"/>
            <w:webHidden/>
          </w:rPr>
          <w:instrText xml:space="preserve"> PAGEREF _Toc235519691 \h </w:instrText>
        </w:r>
        <w:r w:rsidRPr="00015A1E">
          <w:rPr>
            <w:rFonts w:ascii="Calibri" w:hAnsi="Calibri" w:cs="Calibri"/>
            <w:webHidden/>
          </w:rPr>
        </w:r>
        <w:r w:rsidRPr="00015A1E">
          <w:rPr>
            <w:rFonts w:ascii="Calibri" w:hAnsi="Calibri" w:cs="Calibri"/>
            <w:webHidden/>
          </w:rPr>
          <w:fldChar w:fldCharType="separate"/>
        </w:r>
        <w:r w:rsidRPr="00015A1E">
          <w:rPr>
            <w:rFonts w:ascii="Calibri" w:hAnsi="Calibri" w:cs="Calibri"/>
            <w:webHidden/>
          </w:rPr>
          <w:t>4</w:t>
        </w:r>
        <w:r w:rsidRPr="00015A1E">
          <w:rPr>
            <w:rFonts w:ascii="Calibri" w:hAnsi="Calibri" w:cs="Calibri"/>
            <w:webHidden/>
          </w:rPr>
          <w:fldChar w:fldCharType="end"/>
        </w:r>
      </w:hyperlink>
    </w:p>
    <w:p w14:paraId="324DECC2" w14:textId="3ACCBAD1"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92" w:history="1">
        <w:r w:rsidRPr="00015A1E">
          <w:rPr>
            <w:rStyle w:val="Hyperlink"/>
            <w:rFonts w:ascii="Calibri" w:hAnsi="Calibri" w:cs="Calibri"/>
            <w:noProof/>
          </w:rPr>
          <w:t>3.1.</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Fixed Remuneration</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_Toc235519692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4</w:t>
        </w:r>
        <w:r w:rsidRPr="00015A1E">
          <w:rPr>
            <w:rFonts w:ascii="Calibri" w:hAnsi="Calibri" w:cs="Calibri"/>
            <w:noProof/>
            <w:webHidden/>
          </w:rPr>
          <w:fldChar w:fldCharType="end"/>
        </w:r>
      </w:hyperlink>
    </w:p>
    <w:p w14:paraId="7280A192" w14:textId="1ED5D7CF"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93" w:history="1">
        <w:r w:rsidRPr="00015A1E">
          <w:rPr>
            <w:rStyle w:val="Hyperlink"/>
            <w:rFonts w:ascii="Calibri" w:hAnsi="Calibri" w:cs="Calibri"/>
            <w:noProof/>
          </w:rPr>
          <w:t>3.2.</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Variable Remuneration</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_Toc235519693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5</w:t>
        </w:r>
        <w:r w:rsidRPr="00015A1E">
          <w:rPr>
            <w:rFonts w:ascii="Calibri" w:hAnsi="Calibri" w:cs="Calibri"/>
            <w:noProof/>
            <w:webHidden/>
          </w:rPr>
          <w:fldChar w:fldCharType="end"/>
        </w:r>
      </w:hyperlink>
    </w:p>
    <w:p w14:paraId="4BC348BD" w14:textId="778613AB"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94" w:history="1">
        <w:r w:rsidRPr="00015A1E">
          <w:rPr>
            <w:rStyle w:val="Hyperlink"/>
            <w:rFonts w:ascii="Calibri" w:hAnsi="Calibri" w:cs="Calibri"/>
            <w:noProof/>
          </w:rPr>
          <w:t>3.3.</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Governance and Oversight</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_Toc235519694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5</w:t>
        </w:r>
        <w:r w:rsidRPr="00015A1E">
          <w:rPr>
            <w:rFonts w:ascii="Calibri" w:hAnsi="Calibri" w:cs="Calibri"/>
            <w:noProof/>
            <w:webHidden/>
          </w:rPr>
          <w:fldChar w:fldCharType="end"/>
        </w:r>
      </w:hyperlink>
    </w:p>
    <w:p w14:paraId="1DCA4750" w14:textId="361EC209" w:rsidR="00015A1E" w:rsidRPr="00015A1E" w:rsidRDefault="00015A1E">
      <w:pPr>
        <w:pStyle w:val="TOC2"/>
        <w:tabs>
          <w:tab w:val="left" w:pos="960"/>
          <w:tab w:val="right" w:leader="dot" w:pos="9736"/>
        </w:tabs>
        <w:rPr>
          <w:rFonts w:ascii="Calibri" w:eastAsiaTheme="minorEastAsia" w:hAnsi="Calibri" w:cs="Calibri"/>
          <w:smallCaps w:val="0"/>
          <w:noProof/>
          <w:kern w:val="2"/>
          <w:sz w:val="24"/>
          <w:szCs w:val="24"/>
          <w:lang w:eastAsia="en-GB"/>
          <w14:ligatures w14:val="standardContextual"/>
        </w:rPr>
      </w:pPr>
      <w:hyperlink w:anchor="_Toc235519695" w:history="1">
        <w:r w:rsidRPr="00015A1E">
          <w:rPr>
            <w:rStyle w:val="Hyperlink"/>
            <w:rFonts w:ascii="Calibri" w:hAnsi="Calibri" w:cs="Calibri"/>
            <w:noProof/>
          </w:rPr>
          <w:t>3.4.</w:t>
        </w:r>
        <w:r w:rsidRPr="00015A1E">
          <w:rPr>
            <w:rFonts w:ascii="Calibri" w:eastAsiaTheme="minorEastAsia" w:hAnsi="Calibri" w:cs="Calibri"/>
            <w:smallCaps w:val="0"/>
            <w:noProof/>
            <w:kern w:val="2"/>
            <w:sz w:val="24"/>
            <w:szCs w:val="24"/>
            <w:lang w:eastAsia="en-GB"/>
            <w14:ligatures w14:val="standardContextual"/>
          </w:rPr>
          <w:tab/>
        </w:r>
        <w:r w:rsidRPr="00015A1E">
          <w:rPr>
            <w:rStyle w:val="Hyperlink"/>
            <w:rFonts w:ascii="Calibri" w:hAnsi="Calibri" w:cs="Calibri"/>
            <w:noProof/>
          </w:rPr>
          <w:t>Quantitative Remuneration Disclosure</w:t>
        </w:r>
        <w:r w:rsidRPr="00015A1E">
          <w:rPr>
            <w:rFonts w:ascii="Calibri" w:hAnsi="Calibri" w:cs="Calibri"/>
            <w:noProof/>
            <w:webHidden/>
          </w:rPr>
          <w:tab/>
        </w:r>
        <w:r w:rsidRPr="00015A1E">
          <w:rPr>
            <w:rFonts w:ascii="Calibri" w:hAnsi="Calibri" w:cs="Calibri"/>
            <w:noProof/>
            <w:webHidden/>
          </w:rPr>
          <w:fldChar w:fldCharType="begin"/>
        </w:r>
        <w:r w:rsidRPr="00015A1E">
          <w:rPr>
            <w:rFonts w:ascii="Calibri" w:hAnsi="Calibri" w:cs="Calibri"/>
            <w:noProof/>
            <w:webHidden/>
          </w:rPr>
          <w:instrText xml:space="preserve"> PAGEREF _Toc235519695 \h </w:instrText>
        </w:r>
        <w:r w:rsidRPr="00015A1E">
          <w:rPr>
            <w:rFonts w:ascii="Calibri" w:hAnsi="Calibri" w:cs="Calibri"/>
            <w:noProof/>
            <w:webHidden/>
          </w:rPr>
        </w:r>
        <w:r w:rsidRPr="00015A1E">
          <w:rPr>
            <w:rFonts w:ascii="Calibri" w:hAnsi="Calibri" w:cs="Calibri"/>
            <w:noProof/>
            <w:webHidden/>
          </w:rPr>
          <w:fldChar w:fldCharType="separate"/>
        </w:r>
        <w:r w:rsidRPr="00015A1E">
          <w:rPr>
            <w:rFonts w:ascii="Calibri" w:hAnsi="Calibri" w:cs="Calibri"/>
            <w:noProof/>
            <w:webHidden/>
          </w:rPr>
          <w:t>5</w:t>
        </w:r>
        <w:r w:rsidRPr="00015A1E">
          <w:rPr>
            <w:rFonts w:ascii="Calibri" w:hAnsi="Calibri" w:cs="Calibri"/>
            <w:noProof/>
            <w:webHidden/>
          </w:rPr>
          <w:fldChar w:fldCharType="end"/>
        </w:r>
      </w:hyperlink>
    </w:p>
    <w:p w14:paraId="01160890" w14:textId="741E9AEE" w:rsidR="004823C4" w:rsidRPr="00E83089" w:rsidRDefault="00AD51B9" w:rsidP="00E83089">
      <w:pPr>
        <w:suppressAutoHyphens w:val="0"/>
        <w:autoSpaceDN/>
        <w:spacing w:line="259" w:lineRule="auto"/>
        <w:jc w:val="both"/>
        <w:rPr>
          <w:rFonts w:ascii="Calibri" w:hAnsi="Calibri" w:cs="Calibri"/>
          <w:sz w:val="20"/>
          <w:szCs w:val="20"/>
        </w:rPr>
      </w:pPr>
      <w:r w:rsidRPr="00522A9A">
        <w:rPr>
          <w:rFonts w:ascii="Calibri" w:hAnsi="Calibri" w:cs="Calibri"/>
          <w:sz w:val="20"/>
          <w:szCs w:val="20"/>
        </w:rPr>
        <w:fldChar w:fldCharType="end"/>
      </w:r>
      <w:r w:rsidR="004823C4" w:rsidRPr="00E83089">
        <w:rPr>
          <w:rFonts w:ascii="Calibri" w:hAnsi="Calibri" w:cs="Calibri"/>
          <w:sz w:val="20"/>
          <w:szCs w:val="20"/>
        </w:rPr>
        <w:br w:type="page"/>
      </w:r>
    </w:p>
    <w:p w14:paraId="391E5F06" w14:textId="77777777" w:rsidR="00E83089" w:rsidRPr="00E83089" w:rsidRDefault="00E83089" w:rsidP="00E83089">
      <w:pPr>
        <w:pStyle w:val="HeadingA"/>
        <w:jc w:val="both"/>
        <w:rPr>
          <w:rFonts w:cs="Calibri"/>
        </w:rPr>
      </w:pPr>
      <w:bookmarkStart w:id="0" w:name="_Toc153468445"/>
      <w:bookmarkStart w:id="1" w:name="_Toc235519683"/>
      <w:r w:rsidRPr="00E83089">
        <w:rPr>
          <w:rFonts w:cs="Calibri"/>
        </w:rPr>
        <w:t>Introduction</w:t>
      </w:r>
      <w:bookmarkEnd w:id="0"/>
      <w:bookmarkEnd w:id="1"/>
    </w:p>
    <w:p w14:paraId="5D304CD5" w14:textId="06033A36" w:rsidR="00E83089" w:rsidRPr="00072648" w:rsidRDefault="00E83089" w:rsidP="00E83089">
      <w:pPr>
        <w:jc w:val="both"/>
        <w:rPr>
          <w:rFonts w:ascii="Calibri" w:hAnsi="Calibri" w:cs="Calibri"/>
          <w:sz w:val="22"/>
          <w:szCs w:val="22"/>
        </w:rPr>
      </w:pPr>
      <w:r w:rsidRPr="00072648">
        <w:rPr>
          <w:rFonts w:ascii="Calibri" w:hAnsi="Calibri" w:cs="Calibri"/>
          <w:sz w:val="22"/>
          <w:szCs w:val="22"/>
        </w:rPr>
        <w:t xml:space="preserve">The Financial Conduct Authority (the </w:t>
      </w:r>
      <w:r w:rsidRPr="00072648">
        <w:rPr>
          <w:rFonts w:ascii="Calibri" w:hAnsi="Calibri" w:cs="Calibri"/>
          <w:b/>
          <w:bCs/>
          <w:sz w:val="22"/>
          <w:szCs w:val="22"/>
        </w:rPr>
        <w:t>“FCA”</w:t>
      </w:r>
      <w:r w:rsidRPr="00072648">
        <w:rPr>
          <w:rFonts w:ascii="Calibri" w:hAnsi="Calibri" w:cs="Calibri"/>
          <w:sz w:val="22"/>
          <w:szCs w:val="22"/>
        </w:rPr>
        <w:t>) in the Prudential sourcebook for MiFID Investment Firms in the FCA Handbook (</w:t>
      </w:r>
      <w:r w:rsidRPr="00072648">
        <w:rPr>
          <w:rFonts w:ascii="Calibri" w:hAnsi="Calibri" w:cs="Calibri"/>
          <w:b/>
          <w:bCs/>
          <w:sz w:val="22"/>
          <w:szCs w:val="22"/>
        </w:rPr>
        <w:t>“MIFIDPRU”</w:t>
      </w:r>
      <w:r w:rsidRPr="00072648">
        <w:rPr>
          <w:rFonts w:ascii="Calibri" w:hAnsi="Calibri" w:cs="Calibri"/>
          <w:sz w:val="22"/>
          <w:szCs w:val="22"/>
        </w:rPr>
        <w:t>) sets out the detailed prudential requirements that apply to Cygnum Capital</w:t>
      </w:r>
      <w:r w:rsidR="00BC072B">
        <w:rPr>
          <w:rFonts w:ascii="Calibri" w:hAnsi="Calibri" w:cs="Calibri"/>
          <w:sz w:val="22"/>
          <w:szCs w:val="22"/>
        </w:rPr>
        <w:t xml:space="preserve"> Advisory </w:t>
      </w:r>
      <w:r w:rsidRPr="00072648">
        <w:rPr>
          <w:rFonts w:ascii="Calibri" w:hAnsi="Calibri" w:cs="Calibri"/>
          <w:sz w:val="22"/>
          <w:szCs w:val="22"/>
        </w:rPr>
        <w:t>Limited (</w:t>
      </w:r>
      <w:r w:rsidRPr="00072648">
        <w:rPr>
          <w:rFonts w:ascii="Calibri" w:hAnsi="Calibri" w:cs="Calibri"/>
          <w:b/>
          <w:bCs/>
          <w:sz w:val="22"/>
          <w:szCs w:val="22"/>
        </w:rPr>
        <w:t>“CygCap A</w:t>
      </w:r>
      <w:r w:rsidR="00BC072B">
        <w:rPr>
          <w:rFonts w:ascii="Calibri" w:hAnsi="Calibri" w:cs="Calibri"/>
          <w:b/>
          <w:bCs/>
          <w:sz w:val="22"/>
          <w:szCs w:val="22"/>
        </w:rPr>
        <w:t>DV</w:t>
      </w:r>
      <w:r w:rsidRPr="00072648">
        <w:rPr>
          <w:rFonts w:ascii="Calibri" w:hAnsi="Calibri" w:cs="Calibri"/>
          <w:b/>
          <w:bCs/>
          <w:sz w:val="22"/>
          <w:szCs w:val="22"/>
        </w:rPr>
        <w:t>”</w:t>
      </w:r>
      <w:r w:rsidRPr="00072648">
        <w:rPr>
          <w:rFonts w:ascii="Calibri" w:hAnsi="Calibri" w:cs="Calibri"/>
          <w:sz w:val="22"/>
          <w:szCs w:val="22"/>
        </w:rPr>
        <w:t xml:space="preserve"> or the </w:t>
      </w:r>
      <w:r w:rsidRPr="00072648">
        <w:rPr>
          <w:rFonts w:ascii="Calibri" w:hAnsi="Calibri" w:cs="Calibri"/>
          <w:b/>
          <w:bCs/>
          <w:sz w:val="22"/>
          <w:szCs w:val="22"/>
        </w:rPr>
        <w:t>“Firm”</w:t>
      </w:r>
      <w:r w:rsidRPr="00072648">
        <w:rPr>
          <w:rFonts w:ascii="Calibri" w:hAnsi="Calibri" w:cs="Calibri"/>
          <w:sz w:val="22"/>
          <w:szCs w:val="22"/>
        </w:rPr>
        <w:t>). Chapter 8 of MIFIDPRU (</w:t>
      </w:r>
      <w:r w:rsidRPr="00072648">
        <w:rPr>
          <w:rFonts w:ascii="Calibri" w:hAnsi="Calibri" w:cs="Calibri"/>
          <w:b/>
          <w:bCs/>
          <w:sz w:val="22"/>
          <w:szCs w:val="22"/>
        </w:rPr>
        <w:t>“MIFIDPRU 8”</w:t>
      </w:r>
      <w:r w:rsidRPr="00072648">
        <w:rPr>
          <w:rFonts w:ascii="Calibri" w:hAnsi="Calibri" w:cs="Calibri"/>
          <w:sz w:val="22"/>
          <w:szCs w:val="22"/>
        </w:rPr>
        <w:t>) sets out public disclosure rules and guidance with which the Firm must comply.</w:t>
      </w:r>
    </w:p>
    <w:p w14:paraId="2100778C" w14:textId="121D6441" w:rsidR="00E83089" w:rsidRPr="00072648" w:rsidRDefault="00E83089" w:rsidP="00E83089">
      <w:pPr>
        <w:jc w:val="both"/>
        <w:rPr>
          <w:rFonts w:ascii="Calibri" w:hAnsi="Calibri" w:cs="Calibri"/>
          <w:sz w:val="22"/>
          <w:szCs w:val="22"/>
        </w:rPr>
      </w:pPr>
      <w:r w:rsidRPr="00072648">
        <w:rPr>
          <w:rFonts w:ascii="Calibri" w:hAnsi="Calibri" w:cs="Calibri"/>
          <w:sz w:val="22"/>
          <w:szCs w:val="22"/>
        </w:rPr>
        <w:t>CygCap A</w:t>
      </w:r>
      <w:r w:rsidR="00BC072B">
        <w:rPr>
          <w:rFonts w:ascii="Calibri" w:hAnsi="Calibri" w:cs="Calibri"/>
          <w:sz w:val="22"/>
          <w:szCs w:val="22"/>
        </w:rPr>
        <w:t>DV</w:t>
      </w:r>
      <w:r w:rsidRPr="00072648">
        <w:rPr>
          <w:rFonts w:ascii="Calibri" w:hAnsi="Calibri" w:cs="Calibri"/>
          <w:sz w:val="22"/>
          <w:szCs w:val="22"/>
        </w:rPr>
        <w:t xml:space="preserve"> is classified under MIFIDPRU as a small and non-interconnected MIFIDPRU investment firm (</w:t>
      </w:r>
      <w:r w:rsidRPr="00072648">
        <w:rPr>
          <w:rFonts w:ascii="Calibri" w:hAnsi="Calibri" w:cs="Calibri"/>
          <w:b/>
          <w:bCs/>
          <w:sz w:val="22"/>
          <w:szCs w:val="22"/>
        </w:rPr>
        <w:t>“SNI Investment Firm”</w:t>
      </w:r>
      <w:r w:rsidRPr="00072648">
        <w:rPr>
          <w:rFonts w:ascii="Calibri" w:hAnsi="Calibri" w:cs="Calibri"/>
          <w:sz w:val="22"/>
          <w:szCs w:val="22"/>
        </w:rPr>
        <w:t>). In accordance with MIFIDPRU 8.1, as an SNI investment firm</w:t>
      </w:r>
      <w:r w:rsidR="007A7E62" w:rsidRPr="00072648">
        <w:rPr>
          <w:rFonts w:ascii="Calibri" w:hAnsi="Calibri" w:cs="Calibri"/>
          <w:sz w:val="22"/>
          <w:szCs w:val="22"/>
        </w:rPr>
        <w:t>,</w:t>
      </w:r>
      <w:r w:rsidRPr="00072648">
        <w:rPr>
          <w:rFonts w:ascii="Calibri" w:hAnsi="Calibri" w:cs="Calibri"/>
          <w:sz w:val="22"/>
          <w:szCs w:val="22"/>
        </w:rPr>
        <w:t xml:space="preserve"> </w:t>
      </w:r>
      <w:r w:rsidR="007A7E62" w:rsidRPr="00072648">
        <w:rPr>
          <w:rFonts w:ascii="Calibri" w:hAnsi="Calibri" w:cs="Calibri"/>
          <w:sz w:val="22"/>
          <w:szCs w:val="22"/>
        </w:rPr>
        <w:t xml:space="preserve">and MiFIDPRU 8.6, </w:t>
      </w:r>
      <w:r w:rsidRPr="00072648">
        <w:rPr>
          <w:rFonts w:ascii="Calibri" w:hAnsi="Calibri" w:cs="Calibri"/>
          <w:sz w:val="22"/>
          <w:szCs w:val="22"/>
        </w:rPr>
        <w:t>the information which CygCap A</w:t>
      </w:r>
      <w:r w:rsidR="00BC072B">
        <w:rPr>
          <w:rFonts w:ascii="Calibri" w:hAnsi="Calibri" w:cs="Calibri"/>
          <w:sz w:val="22"/>
          <w:szCs w:val="22"/>
        </w:rPr>
        <w:t>DV</w:t>
      </w:r>
      <w:r w:rsidRPr="00072648">
        <w:rPr>
          <w:rFonts w:ascii="Calibri" w:hAnsi="Calibri" w:cs="Calibri"/>
          <w:sz w:val="22"/>
          <w:szCs w:val="22"/>
        </w:rPr>
        <w:t xml:space="preserve"> is required to publish is limited to information relating to its remuneration policies and practices</w:t>
      </w:r>
      <w:r w:rsidR="007A7E62" w:rsidRPr="00072648">
        <w:rPr>
          <w:rFonts w:ascii="Calibri" w:hAnsi="Calibri" w:cs="Calibri"/>
          <w:sz w:val="22"/>
          <w:szCs w:val="22"/>
        </w:rPr>
        <w:t>.</w:t>
      </w:r>
    </w:p>
    <w:p w14:paraId="29F70C7A" w14:textId="77777777" w:rsidR="00E83089" w:rsidRPr="00E83089" w:rsidRDefault="00E83089" w:rsidP="00E83089">
      <w:pPr>
        <w:pStyle w:val="HeadingB"/>
        <w:jc w:val="both"/>
        <w:rPr>
          <w:rFonts w:cs="Calibri"/>
        </w:rPr>
      </w:pPr>
      <w:bookmarkStart w:id="2" w:name="_Toc153468446"/>
      <w:bookmarkStart w:id="3" w:name="_Toc235519684"/>
      <w:r w:rsidRPr="00E83089">
        <w:rPr>
          <w:rFonts w:cs="Calibri"/>
        </w:rPr>
        <w:t>Basis of Disclosure</w:t>
      </w:r>
      <w:bookmarkEnd w:id="2"/>
      <w:bookmarkEnd w:id="3"/>
    </w:p>
    <w:p w14:paraId="360F20B5" w14:textId="5C08A654" w:rsidR="00E42BC5" w:rsidRPr="00072648" w:rsidRDefault="00E83089" w:rsidP="00E83089">
      <w:pPr>
        <w:jc w:val="both"/>
        <w:rPr>
          <w:rFonts w:ascii="Calibri" w:hAnsi="Calibri" w:cs="Calibri"/>
          <w:sz w:val="22"/>
          <w:szCs w:val="22"/>
        </w:rPr>
      </w:pPr>
      <w:r w:rsidRPr="00072648">
        <w:rPr>
          <w:rFonts w:ascii="Calibri" w:hAnsi="Calibri" w:cs="Calibri"/>
          <w:sz w:val="22"/>
          <w:szCs w:val="22"/>
        </w:rPr>
        <w:t xml:space="preserve">This disclosure is prepared on an individual basis and relates to Cygnum Capital </w:t>
      </w:r>
      <w:r w:rsidR="00BC072B">
        <w:rPr>
          <w:rFonts w:ascii="Calibri" w:hAnsi="Calibri" w:cs="Calibri"/>
          <w:sz w:val="22"/>
          <w:szCs w:val="22"/>
        </w:rPr>
        <w:t>Advisory Limited</w:t>
      </w:r>
      <w:r w:rsidR="007A7E62" w:rsidRPr="00072648">
        <w:rPr>
          <w:rFonts w:ascii="Calibri" w:hAnsi="Calibri" w:cs="Calibri"/>
          <w:sz w:val="22"/>
          <w:szCs w:val="22"/>
        </w:rPr>
        <w:t xml:space="preserve">, </w:t>
      </w:r>
      <w:r w:rsidRPr="00072648">
        <w:rPr>
          <w:rFonts w:ascii="Calibri" w:hAnsi="Calibri" w:cs="Calibri"/>
          <w:sz w:val="22"/>
          <w:szCs w:val="22"/>
        </w:rPr>
        <w:t>FCA Firm Reference Number: 8</w:t>
      </w:r>
      <w:r w:rsidR="00BC072B">
        <w:rPr>
          <w:rFonts w:ascii="Calibri" w:hAnsi="Calibri" w:cs="Calibri"/>
          <w:sz w:val="22"/>
          <w:szCs w:val="22"/>
        </w:rPr>
        <w:t>29523</w:t>
      </w:r>
      <w:r w:rsidR="007A7E62" w:rsidRPr="00072648">
        <w:rPr>
          <w:rFonts w:ascii="Calibri" w:hAnsi="Calibri" w:cs="Calibri"/>
          <w:sz w:val="22"/>
          <w:szCs w:val="22"/>
        </w:rPr>
        <w:t>.</w:t>
      </w:r>
      <w:r w:rsidRPr="00072648">
        <w:rPr>
          <w:rFonts w:ascii="Calibri" w:hAnsi="Calibri" w:cs="Calibri"/>
          <w:sz w:val="22"/>
          <w:szCs w:val="22"/>
        </w:rPr>
        <w:t xml:space="preserve"> This disclosure is seen as complimentary to CygCap A</w:t>
      </w:r>
      <w:r w:rsidR="00BC072B">
        <w:rPr>
          <w:rFonts w:ascii="Calibri" w:hAnsi="Calibri" w:cs="Calibri"/>
          <w:sz w:val="22"/>
          <w:szCs w:val="22"/>
        </w:rPr>
        <w:t>DV</w:t>
      </w:r>
      <w:r w:rsidRPr="00072648">
        <w:rPr>
          <w:rFonts w:ascii="Calibri" w:hAnsi="Calibri" w:cs="Calibri"/>
          <w:sz w:val="22"/>
          <w:szCs w:val="22"/>
        </w:rPr>
        <w:t xml:space="preserve">’s published financial statements for </w:t>
      </w:r>
      <w:r w:rsidR="00E42BC5" w:rsidRPr="00072648">
        <w:rPr>
          <w:rFonts w:ascii="Calibri" w:hAnsi="Calibri" w:cs="Calibri"/>
          <w:sz w:val="22"/>
          <w:szCs w:val="22"/>
        </w:rPr>
        <w:t xml:space="preserve">financial year ending 31 December 2025, as well as </w:t>
      </w:r>
      <w:r w:rsidRPr="00072648">
        <w:rPr>
          <w:rFonts w:ascii="Calibri" w:hAnsi="Calibri" w:cs="Calibri"/>
          <w:sz w:val="22"/>
          <w:szCs w:val="22"/>
        </w:rPr>
        <w:t>its implementation of other MIFIDPRU rules, and its internal capital adequacy and risk assessment (</w:t>
      </w:r>
      <w:r w:rsidRPr="00072648">
        <w:rPr>
          <w:rFonts w:ascii="Calibri" w:hAnsi="Calibri" w:cs="Calibri"/>
          <w:b/>
          <w:bCs/>
          <w:sz w:val="22"/>
          <w:szCs w:val="22"/>
        </w:rPr>
        <w:t>“ICARA”</w:t>
      </w:r>
      <w:r w:rsidRPr="00072648">
        <w:rPr>
          <w:rFonts w:ascii="Calibri" w:hAnsi="Calibri" w:cs="Calibri"/>
          <w:sz w:val="22"/>
          <w:szCs w:val="22"/>
        </w:rPr>
        <w:t xml:space="preserve">) process. </w:t>
      </w:r>
    </w:p>
    <w:p w14:paraId="05A67D44" w14:textId="57C619EF" w:rsidR="00E83089" w:rsidRPr="00072648" w:rsidRDefault="00E42BC5" w:rsidP="00E83089">
      <w:pPr>
        <w:jc w:val="both"/>
        <w:rPr>
          <w:rFonts w:ascii="Calibri" w:hAnsi="Calibri" w:cs="Calibri"/>
          <w:sz w:val="22"/>
          <w:szCs w:val="22"/>
        </w:rPr>
      </w:pPr>
      <w:r w:rsidRPr="00072648">
        <w:rPr>
          <w:rFonts w:ascii="Calibri" w:hAnsi="Calibri" w:cs="Calibri"/>
          <w:sz w:val="22"/>
          <w:szCs w:val="22"/>
        </w:rPr>
        <w:t xml:space="preserve">This disclosure </w:t>
      </w:r>
      <w:r w:rsidR="00E83089" w:rsidRPr="00072648">
        <w:rPr>
          <w:rFonts w:ascii="Calibri" w:hAnsi="Calibri" w:cs="Calibri"/>
          <w:sz w:val="22"/>
          <w:szCs w:val="22"/>
        </w:rPr>
        <w:t>is not required to be reviewed by the firm’s auditor and does not form part of the annual audited financial statements of the firm. This disclosure should not be relied upon in making any judgement about the financial position of the firm.</w:t>
      </w:r>
    </w:p>
    <w:p w14:paraId="5F203E1E" w14:textId="77777777" w:rsidR="00E83089" w:rsidRPr="00E83089" w:rsidRDefault="00E83089" w:rsidP="00E83089">
      <w:pPr>
        <w:pStyle w:val="HeadingB"/>
        <w:jc w:val="both"/>
        <w:rPr>
          <w:rFonts w:cs="Calibri"/>
        </w:rPr>
      </w:pPr>
      <w:bookmarkStart w:id="4" w:name="_Toc153468447"/>
      <w:bookmarkStart w:id="5" w:name="_Toc235519685"/>
      <w:r w:rsidRPr="00E83089">
        <w:rPr>
          <w:rFonts w:cs="Calibri"/>
        </w:rPr>
        <w:t>Frequency of Disclosure</w:t>
      </w:r>
      <w:bookmarkEnd w:id="4"/>
      <w:bookmarkEnd w:id="5"/>
    </w:p>
    <w:p w14:paraId="72FBE960" w14:textId="2AC2FCEA" w:rsidR="00E83089" w:rsidRPr="00072648" w:rsidRDefault="00E83089" w:rsidP="00E83089">
      <w:pPr>
        <w:jc w:val="both"/>
        <w:rPr>
          <w:rFonts w:ascii="Calibri" w:hAnsi="Calibri" w:cs="Calibri"/>
          <w:sz w:val="22"/>
          <w:szCs w:val="22"/>
        </w:rPr>
      </w:pPr>
      <w:r w:rsidRPr="00072648">
        <w:rPr>
          <w:rFonts w:ascii="Calibri" w:hAnsi="Calibri" w:cs="Calibri"/>
          <w:sz w:val="22"/>
          <w:szCs w:val="22"/>
        </w:rPr>
        <w:t>Unless otherwise stated, all figures are as of 31 December 202</w:t>
      </w:r>
      <w:r w:rsidR="00E42BC5" w:rsidRPr="00072648">
        <w:rPr>
          <w:rFonts w:ascii="Calibri" w:hAnsi="Calibri" w:cs="Calibri"/>
          <w:sz w:val="22"/>
          <w:szCs w:val="22"/>
        </w:rPr>
        <w:t>5</w:t>
      </w:r>
      <w:r w:rsidRPr="00072648">
        <w:rPr>
          <w:rFonts w:ascii="Calibri" w:hAnsi="Calibri" w:cs="Calibri"/>
          <w:sz w:val="22"/>
          <w:szCs w:val="22"/>
        </w:rPr>
        <w:t xml:space="preserve">, </w:t>
      </w:r>
      <w:r w:rsidR="00E42BC5" w:rsidRPr="00072648">
        <w:rPr>
          <w:rFonts w:ascii="Calibri" w:hAnsi="Calibri" w:cs="Calibri"/>
          <w:sz w:val="22"/>
          <w:szCs w:val="22"/>
        </w:rPr>
        <w:t>and this disclosure is published</w:t>
      </w:r>
      <w:r w:rsidRPr="00072648">
        <w:rPr>
          <w:rFonts w:ascii="Calibri" w:hAnsi="Calibri" w:cs="Calibri"/>
          <w:sz w:val="22"/>
          <w:szCs w:val="22"/>
        </w:rPr>
        <w:t xml:space="preserve"> annually in line with publication of financial statements, but may be more frequent in light of any material changes.</w:t>
      </w:r>
    </w:p>
    <w:p w14:paraId="4534F7F8" w14:textId="77777777" w:rsidR="00E83089" w:rsidRPr="00E83089" w:rsidRDefault="00E83089" w:rsidP="00E83089">
      <w:pPr>
        <w:pStyle w:val="HeadingB"/>
        <w:jc w:val="both"/>
        <w:rPr>
          <w:rFonts w:cs="Calibri"/>
        </w:rPr>
      </w:pPr>
      <w:bookmarkStart w:id="6" w:name="_Toc153468448"/>
      <w:bookmarkStart w:id="7" w:name="_Toc235519686"/>
      <w:r w:rsidRPr="00E83089">
        <w:rPr>
          <w:rFonts w:cs="Calibri"/>
        </w:rPr>
        <w:t>Approval and Publication</w:t>
      </w:r>
      <w:bookmarkEnd w:id="6"/>
      <w:bookmarkEnd w:id="7"/>
    </w:p>
    <w:p w14:paraId="1C19B4BF" w14:textId="15DA2914" w:rsidR="00E83089" w:rsidRPr="00072648" w:rsidRDefault="00E83089" w:rsidP="00E83089">
      <w:pPr>
        <w:jc w:val="both"/>
        <w:rPr>
          <w:rFonts w:ascii="Calibri" w:hAnsi="Calibri" w:cs="Calibri"/>
          <w:sz w:val="22"/>
          <w:szCs w:val="22"/>
        </w:rPr>
      </w:pPr>
      <w:r w:rsidRPr="00072648">
        <w:rPr>
          <w:rFonts w:ascii="Calibri" w:hAnsi="Calibri" w:cs="Calibri"/>
          <w:sz w:val="22"/>
          <w:szCs w:val="22"/>
        </w:rPr>
        <w:t>This disclosure has been approved by the CygCap A</w:t>
      </w:r>
      <w:r w:rsidR="00BC072B">
        <w:rPr>
          <w:rFonts w:ascii="Calibri" w:hAnsi="Calibri" w:cs="Calibri"/>
          <w:sz w:val="22"/>
          <w:szCs w:val="22"/>
        </w:rPr>
        <w:t>DV</w:t>
      </w:r>
      <w:r w:rsidRPr="00072648">
        <w:rPr>
          <w:rFonts w:ascii="Calibri" w:hAnsi="Calibri" w:cs="Calibri"/>
          <w:sz w:val="22"/>
          <w:szCs w:val="22"/>
        </w:rPr>
        <w:t xml:space="preserve"> Board of Directors and is published on the Cygnum Capital Group website (</w:t>
      </w:r>
      <w:hyperlink r:id="rId11" w:history="1">
        <w:r w:rsidRPr="00072648">
          <w:rPr>
            <w:rStyle w:val="Hyperlink"/>
            <w:rFonts w:ascii="Calibri" w:hAnsi="Calibri" w:cs="Calibri"/>
            <w:sz w:val="22"/>
            <w:szCs w:val="22"/>
          </w:rPr>
          <w:t>www.cygnumcapital.com</w:t>
        </w:r>
      </w:hyperlink>
      <w:r w:rsidRPr="00072648">
        <w:rPr>
          <w:rFonts w:ascii="Calibri" w:hAnsi="Calibri" w:cs="Calibri"/>
          <w:sz w:val="22"/>
          <w:szCs w:val="22"/>
        </w:rPr>
        <w:t>).</w:t>
      </w:r>
    </w:p>
    <w:p w14:paraId="2137BA16" w14:textId="77777777" w:rsidR="00E83089" w:rsidRPr="00E83089" w:rsidRDefault="00E83089" w:rsidP="00E83089">
      <w:pPr>
        <w:pStyle w:val="HeadingA"/>
        <w:jc w:val="both"/>
        <w:rPr>
          <w:rFonts w:cs="Calibri"/>
        </w:rPr>
      </w:pPr>
      <w:bookmarkStart w:id="8" w:name="_Toc153468449"/>
      <w:bookmarkStart w:id="9" w:name="_Toc235519687"/>
      <w:r w:rsidRPr="00E83089">
        <w:rPr>
          <w:rFonts w:cs="Calibri"/>
        </w:rPr>
        <w:t>Remuneration Policy and Practices</w:t>
      </w:r>
      <w:bookmarkEnd w:id="8"/>
      <w:bookmarkEnd w:id="9"/>
    </w:p>
    <w:p w14:paraId="71EAA865" w14:textId="77777777" w:rsidR="00E83089" w:rsidRPr="00E83089" w:rsidRDefault="00E83089" w:rsidP="00E83089">
      <w:pPr>
        <w:pStyle w:val="HeadingB"/>
        <w:jc w:val="both"/>
        <w:rPr>
          <w:rFonts w:cs="Calibri"/>
        </w:rPr>
      </w:pPr>
      <w:bookmarkStart w:id="10" w:name="_Toc153468450"/>
      <w:bookmarkStart w:id="11" w:name="_Toc235519688"/>
      <w:r w:rsidRPr="00E83089">
        <w:rPr>
          <w:rFonts w:cs="Calibri"/>
        </w:rPr>
        <w:t>Remuneration Approach</w:t>
      </w:r>
      <w:bookmarkEnd w:id="10"/>
      <w:bookmarkEnd w:id="11"/>
    </w:p>
    <w:p w14:paraId="524B12B1" w14:textId="7DF690D2" w:rsidR="00E83089" w:rsidRPr="00072648" w:rsidRDefault="00E83089" w:rsidP="00E83089">
      <w:pPr>
        <w:jc w:val="both"/>
        <w:rPr>
          <w:rFonts w:ascii="Calibri" w:hAnsi="Calibri" w:cs="Calibri"/>
          <w:sz w:val="22"/>
          <w:szCs w:val="22"/>
        </w:rPr>
      </w:pPr>
      <w:r w:rsidRPr="00072648">
        <w:rPr>
          <w:rFonts w:ascii="Calibri" w:hAnsi="Calibri" w:cs="Calibri"/>
          <w:sz w:val="22"/>
          <w:szCs w:val="22"/>
        </w:rPr>
        <w:t>As an SNI MIFIDPRU Investment Firm, CygCap A</w:t>
      </w:r>
      <w:r w:rsidR="00BC072B">
        <w:rPr>
          <w:rFonts w:ascii="Calibri" w:hAnsi="Calibri" w:cs="Calibri"/>
          <w:sz w:val="22"/>
          <w:szCs w:val="22"/>
        </w:rPr>
        <w:t>DV</w:t>
      </w:r>
      <w:r w:rsidRPr="00072648">
        <w:rPr>
          <w:rFonts w:ascii="Calibri" w:hAnsi="Calibri" w:cs="Calibri"/>
          <w:sz w:val="22"/>
          <w:szCs w:val="22"/>
        </w:rPr>
        <w:t xml:space="preserve"> is subject to the basic requirements of the MIFIDPRU Remuneration Code (as laid down in Chapter 19G of the Senior Management Arrangements, Systems and Controls sourcebook in the FCA Handbook (</w:t>
      </w:r>
      <w:r w:rsidRPr="00072648">
        <w:rPr>
          <w:rFonts w:ascii="Calibri" w:hAnsi="Calibri" w:cs="Calibri"/>
          <w:b/>
          <w:bCs/>
          <w:sz w:val="22"/>
          <w:szCs w:val="22"/>
        </w:rPr>
        <w:t>“SYSC”</w:t>
      </w:r>
      <w:r w:rsidRPr="00072648">
        <w:rPr>
          <w:rFonts w:ascii="Calibri" w:hAnsi="Calibri" w:cs="Calibri"/>
          <w:sz w:val="22"/>
          <w:szCs w:val="22"/>
        </w:rPr>
        <w:t>)). The purpose of the remuneration requirements is to:</w:t>
      </w:r>
    </w:p>
    <w:p w14:paraId="2518EEA3"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Promote effective risk management in the long-term interests of the Firm and its client;</w:t>
      </w:r>
    </w:p>
    <w:p w14:paraId="4887B0FD"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Ensure alignment between risk and individual reward;</w:t>
      </w:r>
    </w:p>
    <w:p w14:paraId="189DC895"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Support positive behaviour and a healthy firm culture; and</w:t>
      </w:r>
    </w:p>
    <w:p w14:paraId="7824BA77" w14:textId="77777777" w:rsidR="00E83089" w:rsidRPr="00072648" w:rsidRDefault="00E83089" w:rsidP="00E83089">
      <w:pPr>
        <w:pStyle w:val="ListParagraph"/>
        <w:numPr>
          <w:ilvl w:val="0"/>
          <w:numId w:val="12"/>
        </w:numPr>
        <w:suppressAutoHyphens w:val="0"/>
        <w:autoSpaceDN/>
        <w:spacing w:before="120" w:after="120" w:line="259" w:lineRule="auto"/>
        <w:jc w:val="both"/>
        <w:rPr>
          <w:rFonts w:ascii="Calibri" w:hAnsi="Calibri" w:cs="Calibri"/>
          <w:sz w:val="22"/>
          <w:szCs w:val="22"/>
        </w:rPr>
      </w:pPr>
      <w:r w:rsidRPr="00072648">
        <w:rPr>
          <w:rFonts w:ascii="Calibri" w:hAnsi="Calibri" w:cs="Calibri"/>
          <w:sz w:val="22"/>
          <w:szCs w:val="22"/>
        </w:rPr>
        <w:t>Discourage behaviour that can lead to misconduct and poor customer outcomes.</w:t>
      </w:r>
    </w:p>
    <w:p w14:paraId="01187B79" w14:textId="116F3349" w:rsidR="00BC072B" w:rsidRDefault="00BC072B" w:rsidP="00E83089">
      <w:pPr>
        <w:jc w:val="both"/>
        <w:rPr>
          <w:rFonts w:ascii="Calibri" w:hAnsi="Calibri" w:cs="Calibri"/>
          <w:sz w:val="22"/>
          <w:szCs w:val="22"/>
        </w:rPr>
      </w:pPr>
      <w:r w:rsidRPr="00BC072B">
        <w:rPr>
          <w:rFonts w:ascii="Calibri" w:hAnsi="Calibri" w:cs="Calibri"/>
          <w:sz w:val="22"/>
          <w:szCs w:val="22"/>
        </w:rPr>
        <w:t>CygCap Adv is a Corporate Finance Business, authorised by the FCA since 16 May 2019 to provide regulated financial advisory services. CygCap A</w:t>
      </w:r>
      <w:r>
        <w:rPr>
          <w:rFonts w:ascii="Calibri" w:hAnsi="Calibri" w:cs="Calibri"/>
          <w:sz w:val="22"/>
          <w:szCs w:val="22"/>
        </w:rPr>
        <w:t>DV</w:t>
      </w:r>
      <w:r w:rsidRPr="00BC072B">
        <w:rPr>
          <w:rFonts w:ascii="Calibri" w:hAnsi="Calibri" w:cs="Calibri"/>
          <w:sz w:val="22"/>
          <w:szCs w:val="22"/>
        </w:rPr>
        <w:t xml:space="preserve"> brings capital markets expertise to development finance across Africa and other frontier markets by providing regulated financial advisory services such as sovereign finance and corporate investment banking (M&amp;A and capital raising) to institutional investors across development sectors such as power, renewable energy, infrastructure, affordable housing, agriculture and natural resources.</w:t>
      </w:r>
    </w:p>
    <w:p w14:paraId="41CED6CB" w14:textId="58C7B931"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objective of the Firm’s remuneration policies and practices is to establish, implement and maintain a culture that is consistent with, and promotes, sound and effective risk management</w:t>
      </w:r>
      <w:r w:rsidR="00072648" w:rsidRPr="00072648">
        <w:rPr>
          <w:rFonts w:ascii="Calibri" w:hAnsi="Calibri" w:cs="Calibri"/>
          <w:sz w:val="22"/>
          <w:szCs w:val="22"/>
        </w:rPr>
        <w:t xml:space="preserve">, ensuring </w:t>
      </w:r>
      <w:r w:rsidRPr="00072648">
        <w:rPr>
          <w:rFonts w:ascii="Calibri" w:hAnsi="Calibri" w:cs="Calibri"/>
          <w:sz w:val="22"/>
          <w:szCs w:val="22"/>
        </w:rPr>
        <w:t xml:space="preserve">that its remuneration policies and practices are aligned with the interests of </w:t>
      </w:r>
      <w:r w:rsidR="00072648" w:rsidRPr="00072648">
        <w:rPr>
          <w:rFonts w:ascii="Calibri" w:hAnsi="Calibri" w:cs="Calibri"/>
          <w:sz w:val="22"/>
          <w:szCs w:val="22"/>
        </w:rPr>
        <w:t>the Firm and its clients.</w:t>
      </w:r>
    </w:p>
    <w:p w14:paraId="37130EE6" w14:textId="496DF8AC"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Firm’s staff comprises Partners, Managing Directors and all other staff, who are all employees of the Firm. The Firm ensures that its business strategy, objectives</w:t>
      </w:r>
      <w:r w:rsidR="00072648" w:rsidRPr="00072648">
        <w:rPr>
          <w:rFonts w:ascii="Calibri" w:hAnsi="Calibri" w:cs="Calibri"/>
          <w:sz w:val="22"/>
          <w:szCs w:val="22"/>
        </w:rPr>
        <w:t xml:space="preserve">, </w:t>
      </w:r>
      <w:r w:rsidRPr="00072648">
        <w:rPr>
          <w:rFonts w:ascii="Calibri" w:hAnsi="Calibri" w:cs="Calibri"/>
          <w:sz w:val="22"/>
          <w:szCs w:val="22"/>
        </w:rPr>
        <w:t>and values do not create a culture where individuals are incentivised to place their own, or the Firm’s, interests ahead of those of CygCap A</w:t>
      </w:r>
      <w:r w:rsidR="00BC072B">
        <w:rPr>
          <w:rFonts w:ascii="Calibri" w:hAnsi="Calibri" w:cs="Calibri"/>
          <w:sz w:val="22"/>
          <w:szCs w:val="22"/>
        </w:rPr>
        <w:t>DV</w:t>
      </w:r>
      <w:r w:rsidRPr="00072648">
        <w:rPr>
          <w:rFonts w:ascii="Calibri" w:hAnsi="Calibri" w:cs="Calibri"/>
          <w:sz w:val="22"/>
          <w:szCs w:val="22"/>
        </w:rPr>
        <w:t>’s clients.</w:t>
      </w:r>
    </w:p>
    <w:p w14:paraId="712F6FA2" w14:textId="432A27D6" w:rsidR="00E83089" w:rsidRPr="00072648" w:rsidRDefault="00E83089" w:rsidP="00E83089">
      <w:pPr>
        <w:jc w:val="both"/>
        <w:rPr>
          <w:rFonts w:ascii="Calibri" w:hAnsi="Calibri" w:cs="Calibri"/>
          <w:sz w:val="22"/>
          <w:szCs w:val="22"/>
        </w:rPr>
      </w:pPr>
      <w:r w:rsidRPr="00072648">
        <w:rPr>
          <w:rFonts w:ascii="Calibri" w:hAnsi="Calibri" w:cs="Calibri"/>
          <w:sz w:val="22"/>
          <w:szCs w:val="22"/>
        </w:rPr>
        <w:t>In addition, CygCap A</w:t>
      </w:r>
      <w:r w:rsidR="00BC072B">
        <w:rPr>
          <w:rFonts w:ascii="Calibri" w:hAnsi="Calibri" w:cs="Calibri"/>
          <w:sz w:val="22"/>
          <w:szCs w:val="22"/>
        </w:rPr>
        <w:t>DV</w:t>
      </w:r>
      <w:r w:rsidRPr="00072648">
        <w:rPr>
          <w:rFonts w:ascii="Calibri" w:hAnsi="Calibri" w:cs="Calibri"/>
          <w:sz w:val="22"/>
          <w:szCs w:val="22"/>
        </w:rPr>
        <w:t xml:space="preserve"> recognises that remuneration is a key component in how the Firm attracts, motivates, and retains quality staff and sustains consistently high levels of performance</w:t>
      </w:r>
      <w:r w:rsidR="00072648" w:rsidRPr="00072648">
        <w:rPr>
          <w:rFonts w:ascii="Calibri" w:hAnsi="Calibri" w:cs="Calibri"/>
          <w:sz w:val="22"/>
          <w:szCs w:val="22"/>
        </w:rPr>
        <w:t xml:space="preserve">. </w:t>
      </w:r>
      <w:r w:rsidRPr="00072648">
        <w:rPr>
          <w:rFonts w:ascii="Calibri" w:hAnsi="Calibri" w:cs="Calibri"/>
          <w:sz w:val="22"/>
          <w:szCs w:val="22"/>
        </w:rPr>
        <w:t>As such, the Firm’s remuneration philosophy is also grounded in the belief that its people are the most important asset and provide its greatest competitive advantage.</w:t>
      </w:r>
    </w:p>
    <w:p w14:paraId="43DA9123" w14:textId="5553E136" w:rsidR="00E83089" w:rsidRPr="00072648" w:rsidRDefault="00E83089" w:rsidP="00E83089">
      <w:pPr>
        <w:jc w:val="both"/>
        <w:rPr>
          <w:rFonts w:ascii="Calibri" w:hAnsi="Calibri" w:cs="Calibri"/>
          <w:sz w:val="22"/>
          <w:szCs w:val="22"/>
        </w:rPr>
      </w:pPr>
      <w:r w:rsidRPr="00072648">
        <w:rPr>
          <w:rFonts w:ascii="Calibri" w:hAnsi="Calibri" w:cs="Calibri"/>
          <w:sz w:val="22"/>
          <w:szCs w:val="22"/>
        </w:rPr>
        <w:t>CygCap A</w:t>
      </w:r>
      <w:r w:rsidR="00BC072B">
        <w:rPr>
          <w:rFonts w:ascii="Calibri" w:hAnsi="Calibri" w:cs="Calibri"/>
          <w:sz w:val="22"/>
          <w:szCs w:val="22"/>
        </w:rPr>
        <w:t xml:space="preserve">DV </w:t>
      </w:r>
      <w:r w:rsidRPr="00072648">
        <w:rPr>
          <w:rFonts w:ascii="Calibri" w:hAnsi="Calibri" w:cs="Calibri"/>
          <w:sz w:val="22"/>
          <w:szCs w:val="22"/>
        </w:rPr>
        <w:t>is committed to excellence, teamwork, ethical behaviour, and the pursuit of exceptional outcomes for its clients. From a remuneration perspective, this means that performance is determined through the assessment of various factors that relate to these values, and by making considered and informed decisions that reward effort, attitude, and results.</w:t>
      </w:r>
    </w:p>
    <w:p w14:paraId="32FECC26" w14:textId="77777777" w:rsidR="00E83089" w:rsidRPr="00E83089" w:rsidRDefault="00E83089" w:rsidP="00E83089">
      <w:pPr>
        <w:pStyle w:val="HeadingB"/>
        <w:jc w:val="both"/>
        <w:rPr>
          <w:rFonts w:cs="Calibri"/>
        </w:rPr>
      </w:pPr>
      <w:bookmarkStart w:id="12" w:name="_Toc153468451"/>
      <w:bookmarkStart w:id="13" w:name="_Toc235519689"/>
      <w:r w:rsidRPr="00E83089">
        <w:rPr>
          <w:rFonts w:cs="Calibri"/>
        </w:rPr>
        <w:t>Equality and Diversity</w:t>
      </w:r>
      <w:bookmarkEnd w:id="12"/>
      <w:bookmarkEnd w:id="13"/>
    </w:p>
    <w:p w14:paraId="73EA9EE0"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 ensures that individual performance, the assessment process, and any variable remuneration awarded is non-discriminatory, and not biased by gender, race, ethnic origin, political views, sexual orientation, age, disability or any other discriminatory factors.</w:t>
      </w:r>
    </w:p>
    <w:p w14:paraId="0ADDE5BF" w14:textId="77777777" w:rsidR="00E83089" w:rsidRPr="00E83089" w:rsidRDefault="00E83089" w:rsidP="00E83089">
      <w:pPr>
        <w:pStyle w:val="HeadingB"/>
        <w:jc w:val="both"/>
        <w:rPr>
          <w:rFonts w:cs="Calibri"/>
        </w:rPr>
      </w:pPr>
      <w:bookmarkStart w:id="14" w:name="_Toc153468452"/>
      <w:bookmarkStart w:id="15" w:name="_Toc235519690"/>
      <w:r w:rsidRPr="00E83089">
        <w:rPr>
          <w:rFonts w:cs="Calibri"/>
        </w:rPr>
        <w:t>Conflicts of Interest</w:t>
      </w:r>
      <w:bookmarkEnd w:id="14"/>
      <w:bookmarkEnd w:id="15"/>
    </w:p>
    <w:p w14:paraId="7DC3994A" w14:textId="70F7B7B2"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 has policies and procedures in place that are aimed at mitigating any potential conflicts that may arise between CygCap A</w:t>
      </w:r>
      <w:r w:rsidR="00BC072B">
        <w:rPr>
          <w:rFonts w:ascii="Calibri" w:hAnsi="Calibri" w:cs="Calibri"/>
          <w:sz w:val="22"/>
          <w:szCs w:val="22"/>
        </w:rPr>
        <w:t>DV</w:t>
      </w:r>
      <w:r w:rsidRPr="00072648">
        <w:rPr>
          <w:rFonts w:ascii="Calibri" w:hAnsi="Calibri" w:cs="Calibri"/>
          <w:sz w:val="22"/>
          <w:szCs w:val="22"/>
        </w:rPr>
        <w:t>, and its staff, clients, customers, investors or investment strategies. CygCap A</w:t>
      </w:r>
      <w:r w:rsidR="00BC072B">
        <w:rPr>
          <w:rFonts w:ascii="Calibri" w:hAnsi="Calibri" w:cs="Calibri"/>
          <w:sz w:val="22"/>
          <w:szCs w:val="22"/>
        </w:rPr>
        <w:t>DV</w:t>
      </w:r>
      <w:r w:rsidRPr="00072648">
        <w:rPr>
          <w:rFonts w:ascii="Calibri" w:hAnsi="Calibri" w:cs="Calibri"/>
          <w:sz w:val="22"/>
          <w:szCs w:val="22"/>
        </w:rPr>
        <w:t xml:space="preserve"> maintains a Conflict of Interests Register, which includes potential conflicts relating to remuneration, as well as any procedures implemented to mitigate such conflicts.</w:t>
      </w:r>
    </w:p>
    <w:p w14:paraId="53DCA1F8" w14:textId="77777777" w:rsidR="00E83089" w:rsidRPr="00E83089" w:rsidRDefault="00E83089" w:rsidP="00E83089">
      <w:pPr>
        <w:pStyle w:val="HeadingA"/>
        <w:jc w:val="both"/>
        <w:rPr>
          <w:rFonts w:cs="Calibri"/>
        </w:rPr>
      </w:pPr>
      <w:bookmarkStart w:id="16" w:name="_Toc153468453"/>
      <w:bookmarkStart w:id="17" w:name="_Toc235519691"/>
      <w:r w:rsidRPr="00E83089">
        <w:rPr>
          <w:rFonts w:cs="Calibri"/>
        </w:rPr>
        <w:t>Remuneration Characteristics</w:t>
      </w:r>
      <w:bookmarkEnd w:id="16"/>
      <w:bookmarkEnd w:id="17"/>
    </w:p>
    <w:p w14:paraId="523E8B1F" w14:textId="77777777" w:rsidR="00E83089" w:rsidRPr="00E83089" w:rsidRDefault="00E83089" w:rsidP="00E83089">
      <w:pPr>
        <w:pStyle w:val="HeadingB"/>
        <w:jc w:val="both"/>
        <w:rPr>
          <w:rFonts w:cs="Calibri"/>
        </w:rPr>
      </w:pPr>
      <w:bookmarkStart w:id="18" w:name="_Toc153468454"/>
      <w:bookmarkStart w:id="19" w:name="_Toc235519692"/>
      <w:r w:rsidRPr="00E83089">
        <w:rPr>
          <w:rFonts w:cs="Calibri"/>
        </w:rPr>
        <w:t>Fixed Remuneration</w:t>
      </w:r>
      <w:bookmarkEnd w:id="18"/>
      <w:bookmarkEnd w:id="19"/>
    </w:p>
    <w:p w14:paraId="446C10E8" w14:textId="024B5BD9" w:rsidR="00E83089" w:rsidRPr="00E83089" w:rsidRDefault="00E83089" w:rsidP="00E83089">
      <w:pPr>
        <w:pStyle w:val="NormalWritten"/>
        <w:spacing w:before="120" w:after="120" w:line="259" w:lineRule="auto"/>
        <w:jc w:val="both"/>
        <w:rPr>
          <w:rFonts w:cs="Calibri"/>
        </w:rPr>
      </w:pPr>
      <w:r w:rsidRPr="00E83089">
        <w:rPr>
          <w:rFonts w:cs="Calibri"/>
        </w:rPr>
        <w:t>Remuneration at CygCap A</w:t>
      </w:r>
      <w:r w:rsidR="00BC072B">
        <w:rPr>
          <w:rFonts w:cs="Calibri"/>
        </w:rPr>
        <w:t>DV</w:t>
      </w:r>
      <w:r w:rsidRPr="00E83089">
        <w:rPr>
          <w:rFonts w:cs="Calibri"/>
        </w:rPr>
        <w:t xml:space="preserve"> is made up of fixed and variable components. The fixed component is set in line with market competitiveness at a level to attract and retain skilled staff. Fixed remuneration is agreed at the point of hiring the individual and is in line with prevailing market conditions for the specific person. Salaries are reviewed at least annually. Overall compensation is compared to market benchmarks annually to ensure remuneration is in line with other comparable asset management firms. Fixed remuneration may comprise:</w:t>
      </w:r>
    </w:p>
    <w:p w14:paraId="53F50A54" w14:textId="77777777" w:rsidR="005E7B3F" w:rsidRDefault="00E83089" w:rsidP="005E7B3F">
      <w:pPr>
        <w:pStyle w:val="LHBulletL1"/>
        <w:numPr>
          <w:ilvl w:val="0"/>
          <w:numId w:val="13"/>
        </w:numPr>
        <w:jc w:val="both"/>
        <w:rPr>
          <w:rFonts w:cs="Calibri"/>
        </w:rPr>
      </w:pPr>
      <w:r w:rsidRPr="00E83089">
        <w:rPr>
          <w:rFonts w:cs="Calibri"/>
        </w:rPr>
        <w:t>Salaries (in respect of employees of the Firm);</w:t>
      </w:r>
    </w:p>
    <w:p w14:paraId="07D6575E" w14:textId="77777777" w:rsidR="005E7B3F" w:rsidRDefault="00E83089" w:rsidP="005E7B3F">
      <w:pPr>
        <w:pStyle w:val="LHBulletL1"/>
        <w:numPr>
          <w:ilvl w:val="0"/>
          <w:numId w:val="13"/>
        </w:numPr>
        <w:jc w:val="both"/>
        <w:rPr>
          <w:rFonts w:cs="Calibri"/>
        </w:rPr>
      </w:pPr>
      <w:r w:rsidRPr="00E83089">
        <w:rPr>
          <w:rFonts w:cs="Calibri"/>
        </w:rPr>
        <w:t>Regular and non-discretionary pension contributions; and</w:t>
      </w:r>
    </w:p>
    <w:p w14:paraId="6E0E2500" w14:textId="070938D7" w:rsidR="00E83089" w:rsidRPr="00E83089" w:rsidRDefault="00E83089" w:rsidP="005E7B3F">
      <w:pPr>
        <w:pStyle w:val="LHBulletL1"/>
        <w:numPr>
          <w:ilvl w:val="0"/>
          <w:numId w:val="13"/>
        </w:numPr>
        <w:jc w:val="both"/>
        <w:rPr>
          <w:rFonts w:cs="Calibri"/>
        </w:rPr>
      </w:pPr>
      <w:r w:rsidRPr="00E83089">
        <w:rPr>
          <w:rFonts w:cs="Calibri"/>
        </w:rPr>
        <w:t>The value of other non-discretionary benefits that are not linked to performance criteria.</w:t>
      </w:r>
    </w:p>
    <w:p w14:paraId="2FAE6D28" w14:textId="77777777" w:rsidR="00E83089" w:rsidRPr="00E83089" w:rsidRDefault="00E83089" w:rsidP="00E83089">
      <w:pPr>
        <w:pStyle w:val="HeadingB"/>
        <w:jc w:val="both"/>
        <w:rPr>
          <w:rFonts w:cs="Calibri"/>
        </w:rPr>
      </w:pPr>
      <w:bookmarkStart w:id="20" w:name="_Toc153468455"/>
      <w:bookmarkStart w:id="21" w:name="_Toc235519693"/>
      <w:r w:rsidRPr="00E83089">
        <w:rPr>
          <w:rFonts w:cs="Calibri"/>
        </w:rPr>
        <w:t>Variable Remuneration</w:t>
      </w:r>
      <w:bookmarkEnd w:id="20"/>
      <w:bookmarkEnd w:id="21"/>
    </w:p>
    <w:p w14:paraId="519E709F" w14:textId="2A347646" w:rsidR="00E83089" w:rsidRPr="00E83089" w:rsidRDefault="00E83089" w:rsidP="00E83089">
      <w:pPr>
        <w:pStyle w:val="NormalWritten"/>
        <w:spacing w:before="120" w:after="120" w:line="259" w:lineRule="auto"/>
        <w:jc w:val="both"/>
        <w:rPr>
          <w:rFonts w:cs="Calibri"/>
        </w:rPr>
      </w:pPr>
      <w:r w:rsidRPr="00E83089">
        <w:rPr>
          <w:rFonts w:cs="Calibri"/>
        </w:rPr>
        <w:t>Variable remuneration is paid on a discretionary basis and takes into consideration the Firm’s performance with regards to the successful management of the Funds, and the financial and non-financial performance of the individual in contributing to the Firm’s and CygCap A</w:t>
      </w:r>
      <w:r w:rsidR="00BC072B">
        <w:rPr>
          <w:rFonts w:cs="Calibri"/>
        </w:rPr>
        <w:t>DV</w:t>
      </w:r>
      <w:r w:rsidRPr="00E83089">
        <w:rPr>
          <w:rFonts w:cs="Calibri"/>
        </w:rPr>
        <w:t>’s success. Variable remuneration may comprise:</w:t>
      </w:r>
    </w:p>
    <w:p w14:paraId="46535C7A" w14:textId="77777777" w:rsidR="00E83089" w:rsidRPr="00E83089" w:rsidRDefault="00E83089" w:rsidP="005E7B3F">
      <w:pPr>
        <w:pStyle w:val="LHBulletL1"/>
        <w:numPr>
          <w:ilvl w:val="0"/>
          <w:numId w:val="14"/>
        </w:numPr>
        <w:jc w:val="both"/>
        <w:rPr>
          <w:rFonts w:cs="Calibri"/>
        </w:rPr>
      </w:pPr>
      <w:r w:rsidRPr="00E83089">
        <w:rPr>
          <w:rFonts w:cs="Calibri"/>
        </w:rPr>
        <w:t>Cash bonuses;</w:t>
      </w:r>
    </w:p>
    <w:p w14:paraId="070F9090" w14:textId="547E483D" w:rsidR="00E83089" w:rsidRPr="00E83089" w:rsidRDefault="00E83089" w:rsidP="005E7B3F">
      <w:pPr>
        <w:pStyle w:val="LHBulletL1"/>
        <w:numPr>
          <w:ilvl w:val="0"/>
          <w:numId w:val="14"/>
        </w:numPr>
        <w:jc w:val="both"/>
        <w:rPr>
          <w:rFonts w:cs="Calibri"/>
        </w:rPr>
      </w:pPr>
      <w:r w:rsidRPr="00E83089">
        <w:rPr>
          <w:rFonts w:cs="Calibri"/>
        </w:rPr>
        <w:t>Discretionary pension contributions;</w:t>
      </w:r>
      <w:r w:rsidR="005E7B3F">
        <w:rPr>
          <w:rFonts w:cs="Calibri"/>
        </w:rPr>
        <w:t xml:space="preserve"> and</w:t>
      </w:r>
    </w:p>
    <w:p w14:paraId="7B29886D" w14:textId="5FC840AC" w:rsidR="00E83089" w:rsidRPr="00E83089" w:rsidRDefault="00E83089" w:rsidP="005E7B3F">
      <w:pPr>
        <w:pStyle w:val="LHBulletL1"/>
        <w:numPr>
          <w:ilvl w:val="0"/>
          <w:numId w:val="14"/>
        </w:numPr>
        <w:jc w:val="both"/>
        <w:rPr>
          <w:rFonts w:cs="Calibri"/>
        </w:rPr>
      </w:pPr>
      <w:r w:rsidRPr="00E83089">
        <w:rPr>
          <w:rFonts w:cs="Calibri"/>
        </w:rPr>
        <w:t>Sign-on bonuses, retention bonuses, and severance pay</w:t>
      </w:r>
      <w:r w:rsidR="005E7B3F">
        <w:rPr>
          <w:rFonts w:cs="Calibri"/>
        </w:rPr>
        <w:t>.</w:t>
      </w:r>
    </w:p>
    <w:p w14:paraId="0363AC92" w14:textId="77777777" w:rsidR="00E83089" w:rsidRPr="00E83089" w:rsidRDefault="00E83089" w:rsidP="00E83089">
      <w:pPr>
        <w:pStyle w:val="NormalWritten"/>
        <w:spacing w:before="120" w:after="120" w:line="259" w:lineRule="auto"/>
        <w:jc w:val="both"/>
        <w:rPr>
          <w:rFonts w:cs="Calibri"/>
        </w:rPr>
      </w:pPr>
      <w:r w:rsidRPr="00E83089">
        <w:rPr>
          <w:rFonts w:cs="Calibri"/>
        </w:rPr>
        <w:t>All staff members are eligible to receive one or more types of variable remuneration. Variable remuneration is based on performance or, in exceptional cases, other conditions. Where based on performance, variable remuneration reflects the long-term performance of the staff member as well as performance in excess of the staff member’s job description and terms of employment.</w:t>
      </w:r>
    </w:p>
    <w:p w14:paraId="21E010F7" w14:textId="77777777" w:rsidR="00E83089" w:rsidRPr="00E83089" w:rsidRDefault="00E83089" w:rsidP="00E83089">
      <w:pPr>
        <w:pStyle w:val="NormalWritten"/>
        <w:spacing w:before="120" w:after="120" w:line="259" w:lineRule="auto"/>
        <w:jc w:val="both"/>
        <w:rPr>
          <w:rFonts w:cs="Calibri"/>
        </w:rPr>
      </w:pPr>
      <w:r w:rsidRPr="00E83089">
        <w:rPr>
          <w:rFonts w:cs="Calibri"/>
        </w:rPr>
        <w:t>In deciding each individual’s total compensation (fixed and variable), the Firm pays due regard to setting an appropriate balance between fixed and variable remuneration. The fixed component represents a sufficiently high proportion of the total remuneration to enable the operation of a fully flexible policy on variable remuneration. This allows for the possibility of paying no variable remuneration component, which the Firm would do in certain situations, such as where the Firm’s profitability is constrained, or where there is a risk that the Firm may not be able to meet its capital or liquidity regulatory requirements. Poor performance by an individual may result in the Firm not paying any variable remuneration.</w:t>
      </w:r>
    </w:p>
    <w:p w14:paraId="2BF7A8DA" w14:textId="716F46CF" w:rsidR="00E83089" w:rsidRPr="00E83089" w:rsidRDefault="00E83089" w:rsidP="00E83089">
      <w:pPr>
        <w:pStyle w:val="NormalWritten"/>
        <w:spacing w:before="120" w:after="120" w:line="259" w:lineRule="auto"/>
        <w:jc w:val="both"/>
        <w:rPr>
          <w:rFonts w:cs="Calibri"/>
        </w:rPr>
      </w:pPr>
      <w:r w:rsidRPr="00E83089">
        <w:rPr>
          <w:rFonts w:cs="Calibri"/>
        </w:rPr>
        <w:t>Decision making on the total amount of remuneration is based on a combination of the assessment of the performance of the individual and his or her overall contribution to CygCap A</w:t>
      </w:r>
      <w:r w:rsidR="00BC072B">
        <w:rPr>
          <w:rFonts w:cs="Calibri"/>
        </w:rPr>
        <w:t>DV</w:t>
      </w:r>
      <w:r w:rsidRPr="00E83089">
        <w:rPr>
          <w:rFonts w:cs="Calibri"/>
        </w:rPr>
        <w:t>, the overall results of the Group, and non-financial criteria. Non-financial criteria assessed by CygCap A</w:t>
      </w:r>
      <w:r w:rsidR="00BC072B">
        <w:rPr>
          <w:rFonts w:cs="Calibri"/>
        </w:rPr>
        <w:t>DV</w:t>
      </w:r>
      <w:r w:rsidRPr="00E83089">
        <w:rPr>
          <w:rFonts w:cs="Calibri"/>
        </w:rPr>
        <w:t xml:space="preserve"> are compliance with CygCap A</w:t>
      </w:r>
      <w:r w:rsidR="00BC072B">
        <w:rPr>
          <w:rFonts w:cs="Calibri"/>
        </w:rPr>
        <w:t>DV</w:t>
      </w:r>
      <w:r w:rsidRPr="00E83089">
        <w:rPr>
          <w:rFonts w:cs="Calibri"/>
        </w:rPr>
        <w:t>’s policies and procedures, including adherence to all compliance and regulatory rules, risk management procedures, leadership and teamwork.</w:t>
      </w:r>
    </w:p>
    <w:p w14:paraId="571573DB" w14:textId="77777777" w:rsidR="00E83089" w:rsidRPr="00E83089" w:rsidRDefault="00E83089" w:rsidP="00E83089">
      <w:pPr>
        <w:pStyle w:val="NormalWritten"/>
        <w:spacing w:before="120" w:after="120" w:line="259" w:lineRule="auto"/>
        <w:jc w:val="both"/>
        <w:rPr>
          <w:rFonts w:cs="Calibri"/>
        </w:rPr>
      </w:pPr>
      <w:r w:rsidRPr="00E83089">
        <w:rPr>
          <w:rFonts w:cs="Calibri"/>
        </w:rPr>
        <w:t>The measurement of performance used to calculate variable remuneration also includes the consideration of an individual’s performance in the role assigned to them, as well as an adjustment for current and future risks, and considers the quality of services provided to the Firm’s clients. The measurement of performance used to calculate variable remuneration components or pools of variable remuneration components includes a comprehensive adjustment mechanism to integrate all relevant types of current and future risks.</w:t>
      </w:r>
    </w:p>
    <w:p w14:paraId="6D0A8F64" w14:textId="5657B032" w:rsidR="00E83089" w:rsidRPr="00E83089" w:rsidRDefault="00E83089" w:rsidP="00E83089">
      <w:pPr>
        <w:pStyle w:val="HeadingB"/>
        <w:jc w:val="both"/>
        <w:rPr>
          <w:rFonts w:cs="Calibri"/>
        </w:rPr>
      </w:pPr>
      <w:bookmarkStart w:id="22" w:name="_Toc153468456"/>
      <w:bookmarkStart w:id="23" w:name="_Toc235519694"/>
      <w:r w:rsidRPr="00E83089">
        <w:rPr>
          <w:rFonts w:cs="Calibri"/>
        </w:rPr>
        <w:t>Governance and Oversight</w:t>
      </w:r>
      <w:bookmarkEnd w:id="22"/>
      <w:bookmarkEnd w:id="23"/>
    </w:p>
    <w:p w14:paraId="492BF2AD" w14:textId="77777777" w:rsidR="00E83089" w:rsidRPr="00072648" w:rsidRDefault="00E83089" w:rsidP="00E83089">
      <w:pPr>
        <w:jc w:val="both"/>
        <w:rPr>
          <w:rFonts w:ascii="Calibri" w:hAnsi="Calibri" w:cs="Calibri"/>
          <w:sz w:val="22"/>
          <w:szCs w:val="22"/>
        </w:rPr>
      </w:pPr>
      <w:r w:rsidRPr="00072648">
        <w:rPr>
          <w:rFonts w:ascii="Calibri" w:hAnsi="Calibri" w:cs="Calibri"/>
          <w:sz w:val="22"/>
          <w:szCs w:val="22"/>
        </w:rPr>
        <w:t>The Firm’s remuneration policy and practices are overseen by the Operating Committee (</w:t>
      </w:r>
      <w:r w:rsidRPr="00072648">
        <w:rPr>
          <w:rFonts w:ascii="Calibri" w:hAnsi="Calibri" w:cs="Calibri"/>
          <w:b/>
          <w:bCs/>
          <w:sz w:val="22"/>
          <w:szCs w:val="22"/>
        </w:rPr>
        <w:t>“OpCo”</w:t>
      </w:r>
      <w:r w:rsidRPr="00072648">
        <w:rPr>
          <w:rFonts w:ascii="Calibri" w:hAnsi="Calibri" w:cs="Calibri"/>
          <w:sz w:val="22"/>
          <w:szCs w:val="22"/>
        </w:rPr>
        <w:t>) on behalf of the Board of Directors. The Firm’s compliance function is consulted as part of the design process of the remuneration policies and practices, providing input based upon the rules, conduct of business risks and staff adherence to the Firm’s compliance framework. The OpCo reviews the Firm’s approach to remuneration at least annually.</w:t>
      </w:r>
    </w:p>
    <w:p w14:paraId="3609C0B9" w14:textId="77777777" w:rsidR="00E83089" w:rsidRPr="00E83089" w:rsidRDefault="00E83089" w:rsidP="00E83089">
      <w:pPr>
        <w:pStyle w:val="HeadingB"/>
        <w:jc w:val="both"/>
        <w:rPr>
          <w:rFonts w:cs="Calibri"/>
        </w:rPr>
      </w:pPr>
      <w:bookmarkStart w:id="24" w:name="_Toc153468457"/>
      <w:bookmarkStart w:id="25" w:name="_Toc235519695"/>
      <w:r w:rsidRPr="00E83089">
        <w:rPr>
          <w:rFonts w:cs="Calibri"/>
        </w:rPr>
        <w:t>Quantitative Remuneration Disclosure</w:t>
      </w:r>
      <w:bookmarkEnd w:id="24"/>
      <w:bookmarkEnd w:id="25"/>
    </w:p>
    <w:p w14:paraId="707B88B7" w14:textId="587FCB6F" w:rsidR="004823C4" w:rsidRPr="00072648" w:rsidRDefault="00E83089" w:rsidP="00E83089">
      <w:pPr>
        <w:jc w:val="both"/>
        <w:rPr>
          <w:rFonts w:ascii="Calibri" w:hAnsi="Calibri" w:cs="Calibri"/>
          <w:sz w:val="22"/>
          <w:szCs w:val="22"/>
        </w:rPr>
      </w:pPr>
      <w:r w:rsidRPr="00072648">
        <w:rPr>
          <w:rFonts w:ascii="Calibri" w:hAnsi="Calibri" w:cs="Calibri"/>
          <w:sz w:val="22"/>
          <w:szCs w:val="22"/>
        </w:rPr>
        <w:t xml:space="preserve">For the financial year to </w:t>
      </w:r>
      <w:r w:rsidR="00072648">
        <w:rPr>
          <w:rFonts w:ascii="Calibri" w:hAnsi="Calibri" w:cs="Calibri"/>
          <w:sz w:val="22"/>
          <w:szCs w:val="22"/>
        </w:rPr>
        <w:t>01 January to 31 December 2025</w:t>
      </w:r>
      <w:r w:rsidRPr="00072648">
        <w:rPr>
          <w:rFonts w:ascii="Calibri" w:hAnsi="Calibri" w:cs="Calibri"/>
          <w:sz w:val="22"/>
          <w:szCs w:val="22"/>
        </w:rPr>
        <w:t xml:space="preserve">, the total amount of remuneration awarded to all staff was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of which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constitute the fixed component of remuneration, and </w:t>
      </w:r>
      <w:r w:rsidR="00072648">
        <w:rPr>
          <w:rFonts w:ascii="Calibri" w:hAnsi="Calibri" w:cs="Calibri"/>
          <w:sz w:val="22"/>
          <w:szCs w:val="22"/>
          <w:highlight w:val="yellow"/>
        </w:rPr>
        <w:t xml:space="preserve">GBP </w:t>
      </w:r>
      <w:r w:rsidRPr="00072648">
        <w:rPr>
          <w:rFonts w:ascii="Calibri" w:hAnsi="Calibri" w:cs="Calibri"/>
          <w:sz w:val="22"/>
          <w:szCs w:val="22"/>
          <w:highlight w:val="yellow"/>
        </w:rPr>
        <w:t>[[]]</w:t>
      </w:r>
      <w:r w:rsidRPr="00072648">
        <w:rPr>
          <w:rFonts w:ascii="Calibri" w:hAnsi="Calibri" w:cs="Calibri"/>
          <w:sz w:val="22"/>
          <w:szCs w:val="22"/>
        </w:rPr>
        <w:t xml:space="preserve"> constitute the variable component.</w:t>
      </w:r>
    </w:p>
    <w:sectPr w:rsidR="004823C4" w:rsidRPr="00072648" w:rsidSect="00666A19">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D2876" w14:textId="77777777" w:rsidR="007B2126" w:rsidRDefault="007B2126" w:rsidP="004823C4">
      <w:pPr>
        <w:spacing w:after="0" w:line="240" w:lineRule="auto"/>
      </w:pPr>
      <w:r>
        <w:separator/>
      </w:r>
    </w:p>
  </w:endnote>
  <w:endnote w:type="continuationSeparator" w:id="0">
    <w:p w14:paraId="7E4AAFE8" w14:textId="77777777" w:rsidR="007B2126" w:rsidRDefault="007B2126" w:rsidP="0048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5586" w14:textId="77777777" w:rsidR="008E0C76" w:rsidRDefault="008E0C76" w:rsidP="008E0C76">
    <w:pPr>
      <w:pStyle w:val="Footer"/>
      <w:jc w:val="right"/>
    </w:pPr>
    <w:r>
      <w:rPr>
        <w:rFonts w:ascii="Calibri" w:hAnsi="Calibri" w:cs="Calibri"/>
        <w:b/>
        <w:bCs/>
        <w:noProof/>
        <w:color w:val="1F4967"/>
      </w:rPr>
      <w:drawing>
        <wp:anchor distT="0" distB="0" distL="114300" distR="114300" simplePos="0" relativeHeight="251658241" behindDoc="0" locked="0" layoutInCell="1" allowOverlap="1" wp14:anchorId="033BA089" wp14:editId="218A48AB">
          <wp:simplePos x="0" y="0"/>
          <wp:positionH relativeFrom="margin">
            <wp:align>left</wp:align>
          </wp:positionH>
          <wp:positionV relativeFrom="paragraph">
            <wp:posOffset>187964</wp:posOffset>
          </wp:positionV>
          <wp:extent cx="1069253" cy="384889"/>
          <wp:effectExtent l="0" t="0" r="0" b="0"/>
          <wp:wrapNone/>
          <wp:docPr id="1636249913" name="Picture 394179946" descr="A 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69253" cy="384889"/>
                  </a:xfrm>
                  <a:prstGeom prst="rect">
                    <a:avLst/>
                  </a:prstGeom>
                  <a:noFill/>
                  <a:ln>
                    <a:noFill/>
                    <a:prstDash/>
                  </a:ln>
                </pic:spPr>
              </pic:pic>
            </a:graphicData>
          </a:graphic>
        </wp:anchor>
      </w:drawing>
    </w:r>
  </w:p>
  <w:p w14:paraId="36BCC674" w14:textId="77777777" w:rsidR="004823C4" w:rsidRDefault="008E0C76" w:rsidP="008E0C76">
    <w:pPr>
      <w:pStyle w:val="Footer"/>
      <w:jc w:val="right"/>
    </w:pPr>
    <w:r>
      <w:rPr>
        <w:rFonts w:ascii="Calibri" w:hAnsi="Calibri" w:cs="Calibri"/>
        <w:sz w:val="22"/>
        <w:szCs w:val="22"/>
      </w:rPr>
      <w:t xml:space="preserve">Page | </w:t>
    </w:r>
    <w:r w:rsidR="004823C4">
      <w:rPr>
        <w:rFonts w:ascii="Calibri" w:hAnsi="Calibri" w:cs="Calibri"/>
        <w:sz w:val="22"/>
        <w:szCs w:val="22"/>
      </w:rPr>
      <w:fldChar w:fldCharType="begin"/>
    </w:r>
    <w:r w:rsidR="004823C4">
      <w:rPr>
        <w:rFonts w:ascii="Calibri" w:hAnsi="Calibri" w:cs="Calibri"/>
        <w:sz w:val="22"/>
        <w:szCs w:val="22"/>
      </w:rPr>
      <w:instrText xml:space="preserve"> PAGE </w:instrText>
    </w:r>
    <w:r w:rsidR="004823C4">
      <w:rPr>
        <w:rFonts w:ascii="Calibri" w:hAnsi="Calibri" w:cs="Calibri"/>
        <w:sz w:val="22"/>
        <w:szCs w:val="22"/>
      </w:rPr>
      <w:fldChar w:fldCharType="separate"/>
    </w:r>
    <w:r w:rsidR="004823C4">
      <w:rPr>
        <w:rFonts w:ascii="Calibri" w:hAnsi="Calibri" w:cs="Calibri"/>
      </w:rPr>
      <w:t>1</w:t>
    </w:r>
    <w:r w:rsidR="004823C4">
      <w:rPr>
        <w:rFonts w:ascii="Calibri" w:hAnsi="Calibri" w:cs="Calibri"/>
        <w:sz w:val="22"/>
        <w:szCs w:val="22"/>
      </w:rPr>
      <w:fldChar w:fldCharType="end"/>
    </w:r>
    <w:r w:rsidR="004823C4">
      <w:rPr>
        <w:sz w:val="22"/>
        <w:szCs w:val="22"/>
      </w:rPr>
      <w:t xml:space="preserve"> </w:t>
    </w:r>
  </w:p>
  <w:p w14:paraId="38F57EAF" w14:textId="77777777" w:rsidR="004823C4" w:rsidRDefault="00482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7ABBF" w14:textId="77777777" w:rsidR="007B2126" w:rsidRDefault="007B2126" w:rsidP="004823C4">
      <w:pPr>
        <w:spacing w:after="0" w:line="240" w:lineRule="auto"/>
      </w:pPr>
      <w:r>
        <w:separator/>
      </w:r>
    </w:p>
  </w:footnote>
  <w:footnote w:type="continuationSeparator" w:id="0">
    <w:p w14:paraId="71847869" w14:textId="77777777" w:rsidR="007B2126" w:rsidRDefault="007B2126" w:rsidP="00482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108A" w14:textId="00E60620" w:rsidR="004823C4" w:rsidRDefault="004823C4" w:rsidP="003D4244">
    <w:pPr>
      <w:pStyle w:val="Header"/>
    </w:pPr>
  </w:p>
  <w:p w14:paraId="3DAF8E69" w14:textId="3B017E99" w:rsidR="003D4244" w:rsidRPr="009E4FAE" w:rsidRDefault="00DE39CF" w:rsidP="00DE39CF">
    <w:pPr>
      <w:pStyle w:val="Header"/>
      <w:jc w:val="right"/>
      <w:rPr>
        <w:rFonts w:ascii="Calibri" w:hAnsi="Calibri" w:cs="Calibri"/>
        <w:b/>
        <w:bCs/>
        <w:color w:val="104B66"/>
      </w:rPr>
    </w:pPr>
    <w:r w:rsidRPr="009E4FAE">
      <w:rPr>
        <w:b/>
        <w:bCs/>
        <w:noProof/>
        <w:color w:val="104B66"/>
        <w:sz w:val="28"/>
        <w:szCs w:val="28"/>
      </w:rPr>
      <w:drawing>
        <wp:anchor distT="0" distB="0" distL="114300" distR="114300" simplePos="0" relativeHeight="251660289" behindDoc="0" locked="0" layoutInCell="1" allowOverlap="1" wp14:anchorId="02D778EB" wp14:editId="070735E3">
          <wp:simplePos x="0" y="0"/>
          <wp:positionH relativeFrom="margin">
            <wp:align>left</wp:align>
          </wp:positionH>
          <wp:positionV relativeFrom="page">
            <wp:posOffset>641985</wp:posOffset>
          </wp:positionV>
          <wp:extent cx="1523365" cy="547370"/>
          <wp:effectExtent l="0" t="0" r="635" b="5080"/>
          <wp:wrapNone/>
          <wp:docPr id="1707876" name="Picture 394179946" descr="A 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523365" cy="5473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9E4FAE">
      <w:rPr>
        <w:rFonts w:ascii="Calibri" w:hAnsi="Calibri" w:cs="Calibri"/>
        <w:b/>
        <w:bCs/>
        <w:color w:val="104B66"/>
      </w:rPr>
      <w:t xml:space="preserve">Cygnum </w:t>
    </w:r>
    <w:r w:rsidRPr="009E4FAE">
      <w:rPr>
        <w:rFonts w:ascii="Calibri" w:hAnsi="Calibri" w:cs="Calibri"/>
        <w:b/>
        <w:bCs/>
        <w:color w:val="104B66"/>
        <w14:textFill>
          <w14:solidFill>
            <w14:srgbClr w14:val="104B66">
              <w14:lumMod w14:val="75000"/>
            </w14:srgbClr>
          </w14:solidFill>
        </w14:textFill>
      </w:rPr>
      <w:t>C</w:t>
    </w:r>
    <w:r w:rsidRPr="009E4FAE">
      <w:rPr>
        <w:rFonts w:ascii="Calibri" w:hAnsi="Calibri" w:cs="Calibri"/>
        <w:b/>
        <w:bCs/>
        <w:color w:val="104B66"/>
      </w:rPr>
      <w:t>apital</w:t>
    </w:r>
    <w:r w:rsidR="00E83089">
      <w:rPr>
        <w:rFonts w:ascii="Calibri" w:hAnsi="Calibri" w:cs="Calibri"/>
        <w:b/>
        <w:bCs/>
        <w:color w:val="104B66"/>
      </w:rPr>
      <w:t xml:space="preserve"> </w:t>
    </w:r>
    <w:r w:rsidR="00BC072B">
      <w:rPr>
        <w:rFonts w:ascii="Calibri" w:hAnsi="Calibri" w:cs="Calibri"/>
        <w:b/>
        <w:bCs/>
        <w:color w:val="104B66"/>
      </w:rPr>
      <w:t>Advisory</w:t>
    </w:r>
    <w:r w:rsidR="00E83089">
      <w:rPr>
        <w:rFonts w:ascii="Calibri" w:hAnsi="Calibri" w:cs="Calibri"/>
        <w:b/>
        <w:bCs/>
        <w:color w:val="104B66"/>
      </w:rPr>
      <w:t xml:space="preserve"> Limited</w:t>
    </w:r>
  </w:p>
  <w:p w14:paraId="68CAF710" w14:textId="5DCE77D9" w:rsidR="00DE39CF" w:rsidRPr="009E4FAE" w:rsidRDefault="00E83089" w:rsidP="00DE39CF">
    <w:pPr>
      <w:pStyle w:val="Header"/>
      <w:jc w:val="right"/>
      <w:rPr>
        <w:rFonts w:ascii="Calibri" w:hAnsi="Calibri" w:cs="Calibri"/>
        <w:b/>
        <w:bCs/>
        <w:color w:val="104B66"/>
      </w:rPr>
    </w:pPr>
    <w:r>
      <w:rPr>
        <w:rFonts w:ascii="Calibri" w:hAnsi="Calibri" w:cs="Calibri"/>
        <w:b/>
        <w:bCs/>
        <w:color w:val="104B66"/>
      </w:rPr>
      <w:t>MIFIDPRU 8 Disclosure</w:t>
    </w:r>
  </w:p>
  <w:p w14:paraId="122B4FCE" w14:textId="5E40BEF9" w:rsidR="00DE39CF" w:rsidRPr="009E4FAE" w:rsidRDefault="00DE39CF" w:rsidP="00DE39CF">
    <w:pPr>
      <w:pStyle w:val="Header"/>
      <w:jc w:val="right"/>
      <w:rPr>
        <w:b/>
        <w:bCs/>
        <w:color w:val="104B66"/>
      </w:rPr>
    </w:pPr>
    <w:r w:rsidRPr="009E4FAE">
      <w:rPr>
        <w:rFonts w:ascii="Calibri" w:hAnsi="Calibri" w:cs="Calibri"/>
        <w:b/>
        <w:bCs/>
        <w:color w:val="104B66"/>
      </w:rPr>
      <w:t>J</w:t>
    </w:r>
    <w:r w:rsidR="00E83089">
      <w:rPr>
        <w:rFonts w:ascii="Calibri" w:hAnsi="Calibri" w:cs="Calibri"/>
        <w:b/>
        <w:bCs/>
        <w:color w:val="104B66"/>
      </w:rPr>
      <w:t>uly</w:t>
    </w:r>
    <w:r w:rsidRPr="009E4FAE">
      <w:rPr>
        <w:rFonts w:ascii="Calibri" w:hAnsi="Calibri" w:cs="Calibri"/>
        <w:b/>
        <w:bCs/>
        <w:color w:val="104B66"/>
      </w:rPr>
      <w:t xml:space="preserve"> 2026</w:t>
    </w:r>
  </w:p>
  <w:p w14:paraId="09F87468" w14:textId="77777777" w:rsidR="003D4244" w:rsidRPr="003D4244" w:rsidRDefault="003D4244" w:rsidP="003D4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700B"/>
    <w:multiLevelType w:val="multilevel"/>
    <w:tmpl w:val="D67CF98C"/>
    <w:lvl w:ilvl="0">
      <w:start w:val="1"/>
      <w:numFmt w:val="decimal"/>
      <w:pStyle w:val="HeadingA"/>
      <w:lvlText w:val="%1."/>
      <w:lvlJc w:val="left"/>
      <w:pPr>
        <w:ind w:left="360" w:hanging="360"/>
      </w:pPr>
    </w:lvl>
    <w:lvl w:ilvl="1">
      <w:start w:val="1"/>
      <w:numFmt w:val="decimal"/>
      <w:pStyle w:val="HeadingB"/>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964E1A"/>
    <w:multiLevelType w:val="hybridMultilevel"/>
    <w:tmpl w:val="EBD27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613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363C56"/>
    <w:multiLevelType w:val="hybridMultilevel"/>
    <w:tmpl w:val="E9FE3A7A"/>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8564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6177B0"/>
    <w:multiLevelType w:val="hybridMultilevel"/>
    <w:tmpl w:val="FA7C287C"/>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617DE"/>
    <w:multiLevelType w:val="hybridMultilevel"/>
    <w:tmpl w:val="1C4CDACC"/>
    <w:lvl w:ilvl="0" w:tplc="65C817E2">
      <w:start w:val="1"/>
      <w:numFmt w:val="decimal"/>
      <w:lvlText w:val="%1."/>
      <w:lvlJc w:val="left"/>
      <w:pPr>
        <w:ind w:left="360" w:hanging="360"/>
      </w:pPr>
      <w:rPr>
        <w:rFonts w:ascii="Arial" w:hAnsi="Arial" w:cs="Arial" w:hint="default"/>
        <w:b/>
        <w:color w:val="808080" w:themeColor="background1" w:themeShade="80"/>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E45858"/>
    <w:multiLevelType w:val="hybridMultilevel"/>
    <w:tmpl w:val="7882921C"/>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71733"/>
    <w:multiLevelType w:val="hybridMultilevel"/>
    <w:tmpl w:val="B78CFC44"/>
    <w:lvl w:ilvl="0" w:tplc="4328AD94">
      <w:numFmt w:val="bullet"/>
      <w:lvlText w:val=""/>
      <w:lvlJc w:val="left"/>
      <w:pPr>
        <w:tabs>
          <w:tab w:val="num" w:pos="720"/>
        </w:tabs>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814BB6"/>
    <w:multiLevelType w:val="hybridMultilevel"/>
    <w:tmpl w:val="8C0AC3FE"/>
    <w:lvl w:ilvl="0" w:tplc="CD863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3F0E56"/>
    <w:multiLevelType w:val="hybridMultilevel"/>
    <w:tmpl w:val="55A29E32"/>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FF581E"/>
    <w:multiLevelType w:val="hybridMultilevel"/>
    <w:tmpl w:val="ADB69266"/>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AB381A"/>
    <w:multiLevelType w:val="hybridMultilevel"/>
    <w:tmpl w:val="EFE6E1A2"/>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A90027"/>
    <w:multiLevelType w:val="hybridMultilevel"/>
    <w:tmpl w:val="9E4EA5E6"/>
    <w:lvl w:ilvl="0" w:tplc="4328AD94">
      <w:numFmt w:val="bullet"/>
      <w:lvlText w:val=""/>
      <w:lvlJc w:val="left"/>
      <w:pPr>
        <w:ind w:left="720" w:hanging="360"/>
      </w:pPr>
      <w:rPr>
        <w:rFonts w:ascii="Wingdings" w:eastAsia="Wingdings" w:hAnsi="Wingdings" w:cs="Wingdings" w:hint="default"/>
        <w:color w:val="CD8B46"/>
        <w:w w:val="100"/>
        <w:sz w:val="22"/>
        <w:szCs w:val="22"/>
        <w:u w:color="156082" w:themeColor="accent1"/>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5836011">
    <w:abstractNumId w:val="0"/>
  </w:num>
  <w:num w:numId="2" w16cid:durableId="96759143">
    <w:abstractNumId w:val="9"/>
  </w:num>
  <w:num w:numId="3" w16cid:durableId="2121946541">
    <w:abstractNumId w:val="2"/>
  </w:num>
  <w:num w:numId="4" w16cid:durableId="1135217155">
    <w:abstractNumId w:val="7"/>
  </w:num>
  <w:num w:numId="5" w16cid:durableId="1100373425">
    <w:abstractNumId w:val="12"/>
  </w:num>
  <w:num w:numId="6" w16cid:durableId="1522671103">
    <w:abstractNumId w:val="6"/>
  </w:num>
  <w:num w:numId="7" w16cid:durableId="1766143755">
    <w:abstractNumId w:val="11"/>
  </w:num>
  <w:num w:numId="8" w16cid:durableId="1881896378">
    <w:abstractNumId w:val="4"/>
  </w:num>
  <w:num w:numId="9" w16cid:durableId="496113848">
    <w:abstractNumId w:val="1"/>
  </w:num>
  <w:num w:numId="10" w16cid:durableId="1433623380">
    <w:abstractNumId w:val="13"/>
  </w:num>
  <w:num w:numId="11" w16cid:durableId="1470173367">
    <w:abstractNumId w:val="8"/>
  </w:num>
  <w:num w:numId="12" w16cid:durableId="1979535107">
    <w:abstractNumId w:val="10"/>
  </w:num>
  <w:num w:numId="13" w16cid:durableId="210700388">
    <w:abstractNumId w:val="3"/>
  </w:num>
  <w:num w:numId="14" w16cid:durableId="908614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3C4"/>
    <w:rsid w:val="00015A1E"/>
    <w:rsid w:val="0005785F"/>
    <w:rsid w:val="00072648"/>
    <w:rsid w:val="0008293E"/>
    <w:rsid w:val="000A4504"/>
    <w:rsid w:val="000B076E"/>
    <w:rsid w:val="000B31A5"/>
    <w:rsid w:val="000C041D"/>
    <w:rsid w:val="000F32AC"/>
    <w:rsid w:val="001044E9"/>
    <w:rsid w:val="00122E0E"/>
    <w:rsid w:val="001416F3"/>
    <w:rsid w:val="00183DB7"/>
    <w:rsid w:val="00187BE4"/>
    <w:rsid w:val="00194339"/>
    <w:rsid w:val="0019756A"/>
    <w:rsid w:val="001A4249"/>
    <w:rsid w:val="001A6BAC"/>
    <w:rsid w:val="001C20EC"/>
    <w:rsid w:val="001C213C"/>
    <w:rsid w:val="00202D98"/>
    <w:rsid w:val="00234091"/>
    <w:rsid w:val="0028373E"/>
    <w:rsid w:val="00293074"/>
    <w:rsid w:val="002A02DB"/>
    <w:rsid w:val="002F06F9"/>
    <w:rsid w:val="003133DE"/>
    <w:rsid w:val="003D4244"/>
    <w:rsid w:val="003E0F71"/>
    <w:rsid w:val="003F2C8D"/>
    <w:rsid w:val="00426C18"/>
    <w:rsid w:val="0044157C"/>
    <w:rsid w:val="00471958"/>
    <w:rsid w:val="004823C4"/>
    <w:rsid w:val="004936E9"/>
    <w:rsid w:val="004A2A83"/>
    <w:rsid w:val="00522A9A"/>
    <w:rsid w:val="00566918"/>
    <w:rsid w:val="005B656E"/>
    <w:rsid w:val="005C310D"/>
    <w:rsid w:val="005D7172"/>
    <w:rsid w:val="005E7B3F"/>
    <w:rsid w:val="005F7FAC"/>
    <w:rsid w:val="006043BD"/>
    <w:rsid w:val="0063280F"/>
    <w:rsid w:val="00664365"/>
    <w:rsid w:val="00666A19"/>
    <w:rsid w:val="006A10D9"/>
    <w:rsid w:val="006A27C7"/>
    <w:rsid w:val="007628B8"/>
    <w:rsid w:val="007A7E62"/>
    <w:rsid w:val="007B2126"/>
    <w:rsid w:val="007D161B"/>
    <w:rsid w:val="007D3534"/>
    <w:rsid w:val="007F1861"/>
    <w:rsid w:val="00822550"/>
    <w:rsid w:val="008A5921"/>
    <w:rsid w:val="008B6FC9"/>
    <w:rsid w:val="008E0C76"/>
    <w:rsid w:val="00955734"/>
    <w:rsid w:val="00957BDE"/>
    <w:rsid w:val="0098661B"/>
    <w:rsid w:val="009E4FAE"/>
    <w:rsid w:val="009E7960"/>
    <w:rsid w:val="00A246C3"/>
    <w:rsid w:val="00A25819"/>
    <w:rsid w:val="00A25EF4"/>
    <w:rsid w:val="00A53FBA"/>
    <w:rsid w:val="00AD51B9"/>
    <w:rsid w:val="00AD7AEA"/>
    <w:rsid w:val="00B32E21"/>
    <w:rsid w:val="00B50862"/>
    <w:rsid w:val="00B5566B"/>
    <w:rsid w:val="00B626B6"/>
    <w:rsid w:val="00B91D33"/>
    <w:rsid w:val="00BC072B"/>
    <w:rsid w:val="00BD0D69"/>
    <w:rsid w:val="00BE1C88"/>
    <w:rsid w:val="00BE5E5D"/>
    <w:rsid w:val="00BF7C06"/>
    <w:rsid w:val="00C7715A"/>
    <w:rsid w:val="00C95464"/>
    <w:rsid w:val="00CA3737"/>
    <w:rsid w:val="00CB134F"/>
    <w:rsid w:val="00CB247F"/>
    <w:rsid w:val="00CB44F6"/>
    <w:rsid w:val="00D24F68"/>
    <w:rsid w:val="00D87DD0"/>
    <w:rsid w:val="00DE39CF"/>
    <w:rsid w:val="00E069D2"/>
    <w:rsid w:val="00E16AF7"/>
    <w:rsid w:val="00E42BC5"/>
    <w:rsid w:val="00E4419E"/>
    <w:rsid w:val="00E83089"/>
    <w:rsid w:val="00EC725F"/>
    <w:rsid w:val="00F506FF"/>
    <w:rsid w:val="00F75228"/>
    <w:rsid w:val="00F80584"/>
    <w:rsid w:val="00F876E3"/>
    <w:rsid w:val="00FC6BF4"/>
    <w:rsid w:val="00FF2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97AA2"/>
  <w15:chartTrackingRefBased/>
  <w15:docId w15:val="{DC23B142-D302-4656-8917-9BEEBEB5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3"/>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C4"/>
    <w:pPr>
      <w:suppressAutoHyphens/>
      <w:autoSpaceDN w:val="0"/>
      <w:spacing w:line="276" w:lineRule="auto"/>
    </w:pPr>
    <w:rPr>
      <w:rFonts w:ascii="Aptos" w:eastAsia="Aptos" w:hAnsi="Aptos" w:cs="Times New Roman"/>
      <w:sz w:val="24"/>
      <w:szCs w:val="24"/>
    </w:rPr>
  </w:style>
  <w:style w:type="paragraph" w:styleId="Heading1">
    <w:name w:val="heading 1"/>
    <w:basedOn w:val="Normal"/>
    <w:next w:val="Normal"/>
    <w:link w:val="Heading1Char"/>
    <w:uiPriority w:val="9"/>
    <w:qFormat/>
    <w:rsid w:val="00482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3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3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823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823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23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23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23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3C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3C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823C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823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823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823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823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82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3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3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823C4"/>
    <w:pPr>
      <w:spacing w:before="160"/>
      <w:jc w:val="center"/>
    </w:pPr>
    <w:rPr>
      <w:i/>
      <w:iCs/>
      <w:color w:val="404040" w:themeColor="text1" w:themeTint="BF"/>
    </w:rPr>
  </w:style>
  <w:style w:type="character" w:customStyle="1" w:styleId="QuoteChar">
    <w:name w:val="Quote Char"/>
    <w:basedOn w:val="DefaultParagraphFont"/>
    <w:link w:val="Quote"/>
    <w:uiPriority w:val="29"/>
    <w:rsid w:val="004823C4"/>
    <w:rPr>
      <w:i/>
      <w:iCs/>
      <w:color w:val="404040" w:themeColor="text1" w:themeTint="BF"/>
    </w:rPr>
  </w:style>
  <w:style w:type="paragraph" w:styleId="ListParagraph">
    <w:name w:val="List Paragraph"/>
    <w:aliases w:val="LH Bullet2,Number Bullets,List Paragraph (bulleted list),Bullet 1 List,Citation List,Graphic,List Paragraph1,Resume Title,heading 4,Ha,ADB paragraph numbering,Table of contents numbered,Single Line,Numbered Para 1,Dot pt,No Spacing1"/>
    <w:basedOn w:val="Normal"/>
    <w:link w:val="ListParagraphChar"/>
    <w:uiPriority w:val="34"/>
    <w:qFormat/>
    <w:rsid w:val="004823C4"/>
    <w:pPr>
      <w:ind w:left="720"/>
      <w:contextualSpacing/>
    </w:pPr>
  </w:style>
  <w:style w:type="character" w:styleId="IntenseEmphasis">
    <w:name w:val="Intense Emphasis"/>
    <w:basedOn w:val="DefaultParagraphFont"/>
    <w:uiPriority w:val="21"/>
    <w:qFormat/>
    <w:rsid w:val="004823C4"/>
    <w:rPr>
      <w:i/>
      <w:iCs/>
      <w:color w:val="0F4761" w:themeColor="accent1" w:themeShade="BF"/>
    </w:rPr>
  </w:style>
  <w:style w:type="paragraph" w:styleId="IntenseQuote">
    <w:name w:val="Intense Quote"/>
    <w:basedOn w:val="Normal"/>
    <w:next w:val="Normal"/>
    <w:link w:val="IntenseQuoteChar"/>
    <w:uiPriority w:val="30"/>
    <w:qFormat/>
    <w:rsid w:val="00482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3C4"/>
    <w:rPr>
      <w:i/>
      <w:iCs/>
      <w:color w:val="0F4761" w:themeColor="accent1" w:themeShade="BF"/>
    </w:rPr>
  </w:style>
  <w:style w:type="character" w:styleId="IntenseReference">
    <w:name w:val="Intense Reference"/>
    <w:basedOn w:val="DefaultParagraphFont"/>
    <w:uiPriority w:val="32"/>
    <w:qFormat/>
    <w:rsid w:val="004823C4"/>
    <w:rPr>
      <w:b/>
      <w:bCs/>
      <w:smallCaps/>
      <w:color w:val="0F4761" w:themeColor="accent1" w:themeShade="BF"/>
      <w:spacing w:val="5"/>
    </w:rPr>
  </w:style>
  <w:style w:type="paragraph" w:styleId="Header">
    <w:name w:val="header"/>
    <w:basedOn w:val="Normal"/>
    <w:link w:val="HeaderChar"/>
    <w:uiPriority w:val="99"/>
    <w:unhideWhenUsed/>
    <w:rsid w:val="004823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3C4"/>
  </w:style>
  <w:style w:type="paragraph" w:styleId="Footer">
    <w:name w:val="footer"/>
    <w:basedOn w:val="Normal"/>
    <w:link w:val="FooterChar"/>
    <w:uiPriority w:val="99"/>
    <w:unhideWhenUsed/>
    <w:rsid w:val="004823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3C4"/>
  </w:style>
  <w:style w:type="paragraph" w:customStyle="1" w:styleId="HeadingA">
    <w:name w:val="HeadingA"/>
    <w:basedOn w:val="ListParagraph"/>
    <w:link w:val="HeadingAChar"/>
    <w:qFormat/>
    <w:rsid w:val="001416F3"/>
    <w:pPr>
      <w:numPr>
        <w:numId w:val="1"/>
      </w:numPr>
    </w:pPr>
    <w:rPr>
      <w:rFonts w:ascii="Calibri" w:hAnsi="Calibri"/>
      <w:b/>
      <w:bCs/>
      <w:color w:val="1F4967"/>
      <w:sz w:val="28"/>
      <w:szCs w:val="28"/>
    </w:rPr>
  </w:style>
  <w:style w:type="character" w:customStyle="1" w:styleId="ListParagraphChar">
    <w:name w:val="List Paragraph Char"/>
    <w:aliases w:val="LH Bullet2 Char,Number Bullets Char,List Paragraph (bulleted list) Char,Bullet 1 List Char,Citation List Char,Graphic Char,List Paragraph1 Char,Resume Title Char,heading 4 Char,Ha Char,ADB paragraph numbering Char,Single Line Char"/>
    <w:basedOn w:val="DefaultParagraphFont"/>
    <w:link w:val="ListParagraph"/>
    <w:uiPriority w:val="34"/>
    <w:rsid w:val="004823C4"/>
    <w:rPr>
      <w:rFonts w:ascii="Aptos" w:eastAsia="Aptos" w:hAnsi="Aptos" w:cs="Times New Roman"/>
      <w:sz w:val="24"/>
      <w:szCs w:val="24"/>
    </w:rPr>
  </w:style>
  <w:style w:type="character" w:customStyle="1" w:styleId="HeadingAChar">
    <w:name w:val="HeadingA Char"/>
    <w:basedOn w:val="ListParagraphChar"/>
    <w:link w:val="HeadingA"/>
    <w:rsid w:val="001416F3"/>
    <w:rPr>
      <w:rFonts w:ascii="Aptos" w:eastAsia="Aptos" w:hAnsi="Aptos" w:cs="Times New Roman"/>
      <w:b/>
      <w:bCs/>
      <w:color w:val="1F4967"/>
      <w:sz w:val="28"/>
      <w:szCs w:val="28"/>
    </w:rPr>
  </w:style>
  <w:style w:type="paragraph" w:styleId="FootnoteText">
    <w:name w:val="footnote text"/>
    <w:basedOn w:val="Normal"/>
    <w:link w:val="FootnoteTextChar"/>
    <w:rsid w:val="004823C4"/>
    <w:pPr>
      <w:spacing w:after="0" w:line="240" w:lineRule="auto"/>
    </w:pPr>
    <w:rPr>
      <w:sz w:val="20"/>
      <w:szCs w:val="20"/>
    </w:rPr>
  </w:style>
  <w:style w:type="character" w:customStyle="1" w:styleId="FootnoteTextChar">
    <w:name w:val="Footnote Text Char"/>
    <w:basedOn w:val="DefaultParagraphFont"/>
    <w:link w:val="FootnoteText"/>
    <w:rsid w:val="004823C4"/>
    <w:rPr>
      <w:rFonts w:ascii="Aptos" w:eastAsia="Aptos" w:hAnsi="Aptos" w:cs="Times New Roman"/>
      <w:sz w:val="20"/>
      <w:szCs w:val="20"/>
    </w:rPr>
  </w:style>
  <w:style w:type="character" w:styleId="FootnoteReference">
    <w:name w:val="footnote reference"/>
    <w:basedOn w:val="DefaultParagraphFont"/>
    <w:rsid w:val="004823C4"/>
    <w:rPr>
      <w:position w:val="0"/>
      <w:vertAlign w:val="superscript"/>
    </w:rPr>
  </w:style>
  <w:style w:type="paragraph" w:customStyle="1" w:styleId="HeadingB">
    <w:name w:val="HeadingB"/>
    <w:basedOn w:val="HeadingA"/>
    <w:link w:val="HeadingBChar"/>
    <w:qFormat/>
    <w:rsid w:val="0005785F"/>
    <w:pPr>
      <w:numPr>
        <w:ilvl w:val="1"/>
      </w:numPr>
    </w:pPr>
    <w:rPr>
      <w:sz w:val="24"/>
      <w:szCs w:val="24"/>
    </w:rPr>
  </w:style>
  <w:style w:type="character" w:customStyle="1" w:styleId="HeadingBChar">
    <w:name w:val="HeadingB Char"/>
    <w:basedOn w:val="HeadingAChar"/>
    <w:link w:val="HeadingB"/>
    <w:rsid w:val="0005785F"/>
    <w:rPr>
      <w:rFonts w:ascii="Aptos" w:eastAsia="Aptos" w:hAnsi="Aptos" w:cs="Times New Roman"/>
      <w:b/>
      <w:bCs/>
      <w:color w:val="1F4967"/>
      <w:sz w:val="24"/>
      <w:szCs w:val="24"/>
    </w:rPr>
  </w:style>
  <w:style w:type="paragraph" w:styleId="TOC1">
    <w:name w:val="toc 1"/>
    <w:basedOn w:val="Normal"/>
    <w:next w:val="Normal"/>
    <w:autoRedefine/>
    <w:uiPriority w:val="39"/>
    <w:unhideWhenUsed/>
    <w:rsid w:val="00AD51B9"/>
    <w:pPr>
      <w:tabs>
        <w:tab w:val="left" w:pos="480"/>
        <w:tab w:val="right" w:leader="dot" w:pos="10456"/>
      </w:tabs>
      <w:spacing w:before="120" w:after="120"/>
    </w:pPr>
    <w:rPr>
      <w:rFonts w:asciiTheme="minorHAnsi" w:hAnsiTheme="minorHAnsi"/>
      <w:b/>
      <w:bCs/>
      <w:caps/>
      <w:noProof/>
      <w:color w:val="1F4967"/>
      <w:sz w:val="20"/>
      <w:szCs w:val="20"/>
    </w:rPr>
  </w:style>
  <w:style w:type="paragraph" w:styleId="TOC2">
    <w:name w:val="toc 2"/>
    <w:basedOn w:val="Normal"/>
    <w:next w:val="Normal"/>
    <w:autoRedefine/>
    <w:uiPriority w:val="39"/>
    <w:unhideWhenUsed/>
    <w:rsid w:val="00AD51B9"/>
    <w:pPr>
      <w:spacing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AD51B9"/>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AD51B9"/>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AD51B9"/>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AD51B9"/>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AD51B9"/>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AD51B9"/>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AD51B9"/>
    <w:pPr>
      <w:spacing w:after="0"/>
      <w:ind w:left="1920"/>
    </w:pPr>
    <w:rPr>
      <w:rFonts w:asciiTheme="minorHAnsi" w:hAnsiTheme="minorHAnsi"/>
      <w:sz w:val="18"/>
      <w:szCs w:val="18"/>
    </w:rPr>
  </w:style>
  <w:style w:type="character" w:styleId="Hyperlink">
    <w:name w:val="Hyperlink"/>
    <w:basedOn w:val="DefaultParagraphFont"/>
    <w:uiPriority w:val="99"/>
    <w:unhideWhenUsed/>
    <w:rsid w:val="00AD51B9"/>
    <w:rPr>
      <w:color w:val="467886" w:themeColor="hyperlink"/>
      <w:u w:val="single"/>
    </w:rPr>
  </w:style>
  <w:style w:type="paragraph" w:styleId="Revision">
    <w:name w:val="Revision"/>
    <w:hidden/>
    <w:uiPriority w:val="99"/>
    <w:semiHidden/>
    <w:rsid w:val="00194339"/>
    <w:pPr>
      <w:spacing w:after="0" w:line="240" w:lineRule="auto"/>
    </w:pPr>
    <w:rPr>
      <w:rFonts w:ascii="Aptos" w:eastAsia="Aptos" w:hAnsi="Aptos" w:cs="Times New Roman"/>
      <w:sz w:val="24"/>
      <w:szCs w:val="24"/>
    </w:rPr>
  </w:style>
  <w:style w:type="character" w:styleId="CommentReference">
    <w:name w:val="annotation reference"/>
    <w:basedOn w:val="DefaultParagraphFont"/>
    <w:uiPriority w:val="99"/>
    <w:semiHidden/>
    <w:unhideWhenUsed/>
    <w:rsid w:val="00A25EF4"/>
    <w:rPr>
      <w:sz w:val="16"/>
      <w:szCs w:val="16"/>
    </w:rPr>
  </w:style>
  <w:style w:type="paragraph" w:styleId="CommentText">
    <w:name w:val="annotation text"/>
    <w:basedOn w:val="Normal"/>
    <w:link w:val="CommentTextChar"/>
    <w:uiPriority w:val="99"/>
    <w:unhideWhenUsed/>
    <w:rsid w:val="00A25EF4"/>
    <w:pPr>
      <w:spacing w:line="240" w:lineRule="auto"/>
    </w:pPr>
    <w:rPr>
      <w:sz w:val="20"/>
      <w:szCs w:val="20"/>
    </w:rPr>
  </w:style>
  <w:style w:type="character" w:customStyle="1" w:styleId="CommentTextChar">
    <w:name w:val="Comment Text Char"/>
    <w:basedOn w:val="DefaultParagraphFont"/>
    <w:link w:val="CommentText"/>
    <w:uiPriority w:val="99"/>
    <w:rsid w:val="00A25EF4"/>
    <w:rPr>
      <w:rFonts w:ascii="Aptos" w:eastAsia="Aptos" w:hAnsi="Aptos" w:cs="Times New Roman"/>
      <w:sz w:val="20"/>
      <w:szCs w:val="20"/>
    </w:rPr>
  </w:style>
  <w:style w:type="paragraph" w:styleId="CommentSubject">
    <w:name w:val="annotation subject"/>
    <w:basedOn w:val="CommentText"/>
    <w:next w:val="CommentText"/>
    <w:link w:val="CommentSubjectChar"/>
    <w:uiPriority w:val="99"/>
    <w:semiHidden/>
    <w:unhideWhenUsed/>
    <w:rsid w:val="00A25EF4"/>
    <w:rPr>
      <w:b/>
      <w:bCs/>
    </w:rPr>
  </w:style>
  <w:style w:type="character" w:customStyle="1" w:styleId="CommentSubjectChar">
    <w:name w:val="Comment Subject Char"/>
    <w:basedOn w:val="CommentTextChar"/>
    <w:link w:val="CommentSubject"/>
    <w:uiPriority w:val="99"/>
    <w:semiHidden/>
    <w:rsid w:val="00A25EF4"/>
    <w:rPr>
      <w:rFonts w:ascii="Aptos" w:eastAsia="Aptos" w:hAnsi="Aptos" w:cs="Times New Roman"/>
      <w:b/>
      <w:bCs/>
      <w:sz w:val="20"/>
      <w:szCs w:val="20"/>
    </w:rPr>
  </w:style>
  <w:style w:type="table" w:styleId="TableGrid">
    <w:name w:val="Table Grid"/>
    <w:basedOn w:val="TableNormal"/>
    <w:uiPriority w:val="39"/>
    <w:rsid w:val="003E0F71"/>
    <w:pPr>
      <w:spacing w:after="0" w:line="240" w:lineRule="auto"/>
    </w:pPr>
    <w:rPr>
      <w:rFonts w:ascii="Trebuchet MS" w:hAnsi="Trebuchet MS"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HBulletL1">
    <w:name w:val="LH BulletL1"/>
    <w:basedOn w:val="ListParagraph"/>
    <w:link w:val="LHBulletL1Char"/>
    <w:qFormat/>
    <w:rsid w:val="00E83089"/>
    <w:pPr>
      <w:suppressAutoHyphens w:val="0"/>
      <w:autoSpaceDN/>
      <w:spacing w:before="40" w:after="120" w:line="259" w:lineRule="auto"/>
      <w:ind w:hanging="360"/>
    </w:pPr>
    <w:rPr>
      <w:rFonts w:ascii="Calibri" w:eastAsiaTheme="minorHAnsi" w:hAnsi="Calibri" w:cstheme="minorBidi"/>
      <w:kern w:val="0"/>
      <w:sz w:val="22"/>
      <w:szCs w:val="22"/>
    </w:rPr>
  </w:style>
  <w:style w:type="character" w:customStyle="1" w:styleId="LHBulletL1Char">
    <w:name w:val="LH BulletL1 Char"/>
    <w:basedOn w:val="DefaultParagraphFont"/>
    <w:link w:val="LHBulletL1"/>
    <w:rsid w:val="00E83089"/>
    <w:rPr>
      <w:rFonts w:cstheme="minorBidi"/>
      <w:kern w:val="0"/>
    </w:rPr>
  </w:style>
  <w:style w:type="paragraph" w:customStyle="1" w:styleId="NormalWritten">
    <w:name w:val="Normal Written"/>
    <w:basedOn w:val="Normal"/>
    <w:link w:val="NormalWrittenChar"/>
    <w:qFormat/>
    <w:rsid w:val="00E83089"/>
    <w:pPr>
      <w:suppressAutoHyphens w:val="0"/>
      <w:autoSpaceDN/>
      <w:spacing w:before="60" w:after="60" w:line="288" w:lineRule="auto"/>
    </w:pPr>
    <w:rPr>
      <w:rFonts w:ascii="Calibri" w:eastAsiaTheme="minorHAnsi" w:hAnsi="Calibri" w:cstheme="minorBidi"/>
      <w:kern w:val="0"/>
      <w:sz w:val="22"/>
      <w:szCs w:val="22"/>
    </w:rPr>
  </w:style>
  <w:style w:type="character" w:customStyle="1" w:styleId="NormalWrittenChar">
    <w:name w:val="Normal Written Char"/>
    <w:basedOn w:val="DefaultParagraphFont"/>
    <w:link w:val="NormalWritten"/>
    <w:rsid w:val="00E83089"/>
    <w:rPr>
      <w:rFonts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gnumcapita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16BF7E3A6898489D0F76E90B3794F3" ma:contentTypeVersion="8" ma:contentTypeDescription="Create a new document." ma:contentTypeScope="" ma:versionID="508386b40274884a64d10a55d9ed1bcc">
  <xsd:schema xmlns:xsd="http://www.w3.org/2001/XMLSchema" xmlns:xs="http://www.w3.org/2001/XMLSchema" xmlns:p="http://schemas.microsoft.com/office/2006/metadata/properties" xmlns:ns2="e21827c7-7bc5-48fb-adf3-dea51284960d" xmlns:ns3="48369e71-7c2e-4807-a872-1fcf642118d3" targetNamespace="http://schemas.microsoft.com/office/2006/metadata/properties" ma:root="true" ma:fieldsID="3b59d56b5883f07d5ed3352a1028c798" ns2:_="" ns3:_="">
    <xsd:import namespace="e21827c7-7bc5-48fb-adf3-dea51284960d"/>
    <xsd:import namespace="48369e71-7c2e-4807-a872-1fcf642118d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1827c7-7bc5-48fb-adf3-dea512849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7e30bd-b07c-4704-b587-dcd7b296fe0f" ma:termSetId="09814cd3-568e-fe90-9814-8d621ff8fb84" ma:anchorId="fba54fb3-c3e1-fe81-a776-ca4b69148c4d" ma:open="true" ma:isKeyword="false">
      <xsd:complexType>
        <xsd:sequence>
          <xsd:element ref="pc:Terms" minOccurs="0" maxOccurs="1"/>
        </xsd:sequence>
      </xsd:complex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69e71-7c2e-4807-a872-1fcf642118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c5d193-2b68-440f-bb33-fae84173a373}" ma:internalName="TaxCatchAll" ma:showField="CatchAllData" ma:web="48369e71-7c2e-4807-a872-1fcf64211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369e71-7c2e-4807-a872-1fcf642118d3" xsi:nil="true"/>
    <lcf76f155ced4ddcb4097134ff3c332f xmlns="e21827c7-7bc5-48fb-adf3-dea5128496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841F43-C47C-41A1-B521-6766E9FD7260}">
  <ds:schemaRefs>
    <ds:schemaRef ds:uri="http://schemas.microsoft.com/sharepoint/v3/contenttype/forms"/>
  </ds:schemaRefs>
</ds:datastoreItem>
</file>

<file path=customXml/itemProps2.xml><?xml version="1.0" encoding="utf-8"?>
<ds:datastoreItem xmlns:ds="http://schemas.openxmlformats.org/officeDocument/2006/customXml" ds:itemID="{D8628B11-FB27-439A-8CCF-138FBDA1E378}">
  <ds:schemaRefs>
    <ds:schemaRef ds:uri="http://schemas.openxmlformats.org/officeDocument/2006/bibliography"/>
  </ds:schemaRefs>
</ds:datastoreItem>
</file>

<file path=customXml/itemProps3.xml><?xml version="1.0" encoding="utf-8"?>
<ds:datastoreItem xmlns:ds="http://schemas.openxmlformats.org/officeDocument/2006/customXml" ds:itemID="{7E42A54C-A4DC-4C8D-8763-167055092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1827c7-7bc5-48fb-adf3-dea51284960d"/>
    <ds:schemaRef ds:uri="48369e71-7c2e-4807-a872-1fcf64211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BF09D-E773-49DE-A942-7A83EB07D39E}">
  <ds:schemaRefs>
    <ds:schemaRef ds:uri="http://schemas.microsoft.com/office/2006/metadata/properties"/>
    <ds:schemaRef ds:uri="http://schemas.microsoft.com/office/infopath/2007/PartnerControls"/>
    <ds:schemaRef ds:uri="48369e71-7c2e-4807-a872-1fcf642118d3"/>
    <ds:schemaRef ds:uri="e21827c7-7bc5-48fb-adf3-dea51284960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1552</Words>
  <Characters>8941</Characters>
  <Application>Microsoft Office Word</Application>
  <DocSecurity>0</DocSecurity>
  <Lines>137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Hurt</dc:creator>
  <cp:keywords/>
  <dc:description/>
  <cp:lastModifiedBy>Dan Hughes</cp:lastModifiedBy>
  <cp:revision>2</cp:revision>
  <cp:lastPrinted>2026-01-22T14:03:00Z</cp:lastPrinted>
  <dcterms:created xsi:type="dcterms:W3CDTF">2026-10-15T10:28:00Z</dcterms:created>
  <dcterms:modified xsi:type="dcterms:W3CDTF">2026-10-15T10:28:00Z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0x0101003416BF7E3A6898489D0F76E90B3794F3</vt:lpwstr>
  </property>
  <property fmtid="{D5CDD505-2E9C-101B-9397-08002B2CF9AE}" pid="3" name="MediaServiceImageTags">
    <vt:lpwstr/>
  </property>
  <property fmtid="{D5CDD505-2E9C-101B-9397-08002B2CF9AE}" pid="4" name="docLang">
    <vt:lpwstr>en</vt:lpwstr>
  </property>
</Properties>
</file>