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103"/>
        <w:gridCol w:w="2254"/>
        <w:gridCol w:w="2254"/>
      </w:tblGrid>
      <w:tr w:rsidR="00A863FF" w14:paraId="355C825B" w14:textId="77777777" w:rsidTr="00C36F19">
        <w:tc>
          <w:tcPr>
            <w:tcW w:w="2405" w:type="dxa"/>
          </w:tcPr>
          <w:p w14:paraId="1990F9FF" w14:textId="77777777" w:rsidR="00A863FF" w:rsidRDefault="00A863FF"/>
          <w:p w14:paraId="596596C4" w14:textId="77777777" w:rsidR="008420AD" w:rsidRDefault="008420AD"/>
        </w:tc>
        <w:tc>
          <w:tcPr>
            <w:tcW w:w="2103" w:type="dxa"/>
          </w:tcPr>
          <w:p w14:paraId="2955B565" w14:textId="78575D85" w:rsidR="00A863FF" w:rsidRDefault="00A863FF" w:rsidP="00C36F19">
            <w:pPr>
              <w:jc w:val="center"/>
            </w:pPr>
            <w:r>
              <w:t>2025</w:t>
            </w:r>
          </w:p>
        </w:tc>
        <w:tc>
          <w:tcPr>
            <w:tcW w:w="2254" w:type="dxa"/>
          </w:tcPr>
          <w:p w14:paraId="581CB583" w14:textId="31697921" w:rsidR="00A863FF" w:rsidRDefault="00A863FF" w:rsidP="00C36F19">
            <w:pPr>
              <w:jc w:val="center"/>
            </w:pPr>
            <w:r>
              <w:t>Budget</w:t>
            </w:r>
          </w:p>
        </w:tc>
        <w:tc>
          <w:tcPr>
            <w:tcW w:w="2254" w:type="dxa"/>
          </w:tcPr>
          <w:p w14:paraId="606C49EA" w14:textId="1E831FC6" w:rsidR="00A863FF" w:rsidRDefault="00A863FF" w:rsidP="00C36F19">
            <w:pPr>
              <w:jc w:val="center"/>
            </w:pPr>
            <w:r>
              <w:t>2024</w:t>
            </w:r>
          </w:p>
        </w:tc>
      </w:tr>
      <w:tr w:rsidR="00A863FF" w14:paraId="1F3B6ACB" w14:textId="77777777" w:rsidTr="00C36F19">
        <w:tc>
          <w:tcPr>
            <w:tcW w:w="2405" w:type="dxa"/>
          </w:tcPr>
          <w:p w14:paraId="3901A990" w14:textId="37DE077B" w:rsidR="00A863FF" w:rsidRDefault="00A863FF">
            <w:r>
              <w:t>Income</w:t>
            </w:r>
          </w:p>
        </w:tc>
        <w:tc>
          <w:tcPr>
            <w:tcW w:w="2103" w:type="dxa"/>
          </w:tcPr>
          <w:p w14:paraId="0FD2BE40" w14:textId="2505EB73" w:rsidR="00A863FF" w:rsidRDefault="00C36F19" w:rsidP="00C36F19">
            <w:pPr>
              <w:jc w:val="center"/>
            </w:pPr>
            <w:r>
              <w:t>£</w:t>
            </w:r>
          </w:p>
        </w:tc>
        <w:tc>
          <w:tcPr>
            <w:tcW w:w="2254" w:type="dxa"/>
          </w:tcPr>
          <w:p w14:paraId="22D954ED" w14:textId="6F267178" w:rsidR="00A863FF" w:rsidRDefault="00C36F19" w:rsidP="00C36F19">
            <w:pPr>
              <w:jc w:val="center"/>
            </w:pPr>
            <w:r>
              <w:t>£</w:t>
            </w:r>
          </w:p>
        </w:tc>
        <w:tc>
          <w:tcPr>
            <w:tcW w:w="2254" w:type="dxa"/>
          </w:tcPr>
          <w:p w14:paraId="069BBA01" w14:textId="30DBE881" w:rsidR="00A863FF" w:rsidRDefault="00C36F19" w:rsidP="00C36F19">
            <w:pPr>
              <w:jc w:val="center"/>
            </w:pPr>
            <w:r>
              <w:t>£</w:t>
            </w:r>
          </w:p>
        </w:tc>
      </w:tr>
      <w:tr w:rsidR="00A863FF" w14:paraId="581B065B" w14:textId="77777777" w:rsidTr="00C36F19">
        <w:tc>
          <w:tcPr>
            <w:tcW w:w="2405" w:type="dxa"/>
          </w:tcPr>
          <w:p w14:paraId="457CAA96" w14:textId="5BD1C86F" w:rsidR="00A863FF" w:rsidRDefault="00A863FF"/>
        </w:tc>
        <w:tc>
          <w:tcPr>
            <w:tcW w:w="2103" w:type="dxa"/>
          </w:tcPr>
          <w:p w14:paraId="5AA92936" w14:textId="77777777" w:rsidR="00A863FF" w:rsidRDefault="00A863FF"/>
        </w:tc>
        <w:tc>
          <w:tcPr>
            <w:tcW w:w="2254" w:type="dxa"/>
          </w:tcPr>
          <w:p w14:paraId="269EEBF6" w14:textId="77777777" w:rsidR="00A863FF" w:rsidRDefault="00A863FF"/>
        </w:tc>
        <w:tc>
          <w:tcPr>
            <w:tcW w:w="2254" w:type="dxa"/>
          </w:tcPr>
          <w:p w14:paraId="39CF130F" w14:textId="77777777" w:rsidR="00A863FF" w:rsidRDefault="00A863FF"/>
        </w:tc>
      </w:tr>
      <w:tr w:rsidR="00A863FF" w14:paraId="273B9CCF" w14:textId="77777777" w:rsidTr="00C36F19">
        <w:tc>
          <w:tcPr>
            <w:tcW w:w="2405" w:type="dxa"/>
          </w:tcPr>
          <w:p w14:paraId="1FCFBE15" w14:textId="45DAAF35" w:rsidR="00A863FF" w:rsidRDefault="00A863FF">
            <w:r>
              <w:t>Resource</w:t>
            </w:r>
          </w:p>
        </w:tc>
        <w:tc>
          <w:tcPr>
            <w:tcW w:w="2103" w:type="dxa"/>
          </w:tcPr>
          <w:p w14:paraId="7FBBEA1E" w14:textId="535BADF8" w:rsidR="00A863FF" w:rsidRDefault="00B1704B" w:rsidP="00C36F19">
            <w:pPr>
              <w:jc w:val="right"/>
            </w:pPr>
            <w:r>
              <w:t>400,000</w:t>
            </w:r>
          </w:p>
        </w:tc>
        <w:tc>
          <w:tcPr>
            <w:tcW w:w="2254" w:type="dxa"/>
          </w:tcPr>
          <w:p w14:paraId="67116D78" w14:textId="2F41A631" w:rsidR="00A863FF" w:rsidRDefault="00B1704B" w:rsidP="00C36F19">
            <w:pPr>
              <w:jc w:val="right"/>
            </w:pPr>
            <w:r>
              <w:t>400,000</w:t>
            </w:r>
          </w:p>
        </w:tc>
        <w:tc>
          <w:tcPr>
            <w:tcW w:w="2254" w:type="dxa"/>
          </w:tcPr>
          <w:p w14:paraId="22A17614" w14:textId="17E9DCB9" w:rsidR="00A863FF" w:rsidRDefault="00B1704B" w:rsidP="00C36F19">
            <w:pPr>
              <w:jc w:val="right"/>
            </w:pPr>
            <w:r>
              <w:t>360,00</w:t>
            </w:r>
            <w:r w:rsidR="00873A72">
              <w:t>0</w:t>
            </w:r>
          </w:p>
        </w:tc>
      </w:tr>
      <w:tr w:rsidR="00A863FF" w14:paraId="154090D8" w14:textId="77777777" w:rsidTr="00C36F19">
        <w:tc>
          <w:tcPr>
            <w:tcW w:w="2405" w:type="dxa"/>
          </w:tcPr>
          <w:p w14:paraId="34FB65E0" w14:textId="7662A884" w:rsidR="00A863FF" w:rsidRDefault="00A863FF">
            <w:r>
              <w:t>Property</w:t>
            </w:r>
          </w:p>
        </w:tc>
        <w:tc>
          <w:tcPr>
            <w:tcW w:w="2103" w:type="dxa"/>
          </w:tcPr>
          <w:p w14:paraId="2B801074" w14:textId="6AFE1324" w:rsidR="00A863FF" w:rsidRDefault="00B1704B" w:rsidP="00C36F19">
            <w:pPr>
              <w:jc w:val="right"/>
            </w:pPr>
            <w:r>
              <w:t>569,250</w:t>
            </w:r>
          </w:p>
        </w:tc>
        <w:tc>
          <w:tcPr>
            <w:tcW w:w="2254" w:type="dxa"/>
          </w:tcPr>
          <w:p w14:paraId="6B03EFF4" w14:textId="77777777" w:rsidR="00A863FF" w:rsidRDefault="00A863FF" w:rsidP="00C36F19">
            <w:pPr>
              <w:jc w:val="right"/>
            </w:pPr>
          </w:p>
        </w:tc>
        <w:tc>
          <w:tcPr>
            <w:tcW w:w="2254" w:type="dxa"/>
          </w:tcPr>
          <w:p w14:paraId="11195E3A" w14:textId="5EB5E8A8" w:rsidR="00A863FF" w:rsidRDefault="001D2937" w:rsidP="00C36F19">
            <w:pPr>
              <w:jc w:val="right"/>
            </w:pPr>
            <w:r>
              <w:t>344,481</w:t>
            </w:r>
          </w:p>
        </w:tc>
      </w:tr>
      <w:tr w:rsidR="00A863FF" w14:paraId="6890FCC1" w14:textId="77777777" w:rsidTr="00C36F19">
        <w:tc>
          <w:tcPr>
            <w:tcW w:w="2405" w:type="dxa"/>
          </w:tcPr>
          <w:p w14:paraId="690163AA" w14:textId="006FE478" w:rsidR="00A863FF" w:rsidRDefault="00A863FF">
            <w:r>
              <w:t>Investments</w:t>
            </w:r>
          </w:p>
        </w:tc>
        <w:tc>
          <w:tcPr>
            <w:tcW w:w="2103" w:type="dxa"/>
          </w:tcPr>
          <w:p w14:paraId="75596F9C" w14:textId="01C3B152" w:rsidR="00A863FF" w:rsidRDefault="00B1704B" w:rsidP="00C36F19">
            <w:pPr>
              <w:jc w:val="right"/>
            </w:pPr>
            <w:r>
              <w:t>21,717</w:t>
            </w:r>
          </w:p>
        </w:tc>
        <w:tc>
          <w:tcPr>
            <w:tcW w:w="2254" w:type="dxa"/>
          </w:tcPr>
          <w:p w14:paraId="031BA15F" w14:textId="692DD749" w:rsidR="00A863FF" w:rsidRDefault="00B1704B" w:rsidP="00C36F19">
            <w:pPr>
              <w:jc w:val="right"/>
            </w:pPr>
            <w:r>
              <w:t>24,000</w:t>
            </w:r>
          </w:p>
        </w:tc>
        <w:tc>
          <w:tcPr>
            <w:tcW w:w="2254" w:type="dxa"/>
          </w:tcPr>
          <w:p w14:paraId="560A69FD" w14:textId="3888C96D" w:rsidR="00A863FF" w:rsidRDefault="00B1704B" w:rsidP="00C36F19">
            <w:pPr>
              <w:jc w:val="right"/>
            </w:pPr>
            <w:r>
              <w:t>36,396</w:t>
            </w:r>
          </w:p>
        </w:tc>
      </w:tr>
      <w:tr w:rsidR="00A863FF" w14:paraId="7E7A7D0D" w14:textId="77777777" w:rsidTr="00C36F19">
        <w:tc>
          <w:tcPr>
            <w:tcW w:w="2405" w:type="dxa"/>
          </w:tcPr>
          <w:p w14:paraId="1D3D73E6" w14:textId="4D92BDE0" w:rsidR="00A863FF" w:rsidRDefault="00A863FF">
            <w:r>
              <w:t>Other</w:t>
            </w:r>
          </w:p>
        </w:tc>
        <w:tc>
          <w:tcPr>
            <w:tcW w:w="2103" w:type="dxa"/>
          </w:tcPr>
          <w:p w14:paraId="5993F4BA" w14:textId="5AACD49E" w:rsidR="00A863FF" w:rsidRDefault="00B1704B" w:rsidP="00C36F19">
            <w:pPr>
              <w:jc w:val="right"/>
            </w:pPr>
            <w:r>
              <w:t>28,370</w:t>
            </w:r>
          </w:p>
        </w:tc>
        <w:tc>
          <w:tcPr>
            <w:tcW w:w="2254" w:type="dxa"/>
          </w:tcPr>
          <w:p w14:paraId="1C2069ED" w14:textId="59DA3FB0" w:rsidR="00A863FF" w:rsidRDefault="00B1704B" w:rsidP="00C36F19">
            <w:pPr>
              <w:jc w:val="right"/>
            </w:pPr>
            <w:r>
              <w:t>30,000</w:t>
            </w:r>
          </w:p>
        </w:tc>
        <w:tc>
          <w:tcPr>
            <w:tcW w:w="2254" w:type="dxa"/>
          </w:tcPr>
          <w:p w14:paraId="228C6139" w14:textId="50988C01" w:rsidR="00A863FF" w:rsidRDefault="00C36F19" w:rsidP="00C36F19">
            <w:pPr>
              <w:jc w:val="right"/>
            </w:pPr>
            <w:r>
              <w:t>68,238</w:t>
            </w:r>
          </w:p>
        </w:tc>
      </w:tr>
      <w:tr w:rsidR="00A863FF" w14:paraId="25715C62" w14:textId="77777777" w:rsidTr="00C36F19">
        <w:tc>
          <w:tcPr>
            <w:tcW w:w="2405" w:type="dxa"/>
          </w:tcPr>
          <w:p w14:paraId="3C1C6883" w14:textId="05331FF6" w:rsidR="00A863FF" w:rsidRDefault="00A863FF">
            <w:r>
              <w:t>Total</w:t>
            </w:r>
          </w:p>
        </w:tc>
        <w:tc>
          <w:tcPr>
            <w:tcW w:w="2103" w:type="dxa"/>
          </w:tcPr>
          <w:p w14:paraId="28E24F1F" w14:textId="4A592CF7" w:rsidR="00A863FF" w:rsidRDefault="00B1704B" w:rsidP="00C36F19">
            <w:pPr>
              <w:jc w:val="right"/>
            </w:pPr>
            <w:r>
              <w:t>1,019,337</w:t>
            </w:r>
          </w:p>
        </w:tc>
        <w:tc>
          <w:tcPr>
            <w:tcW w:w="2254" w:type="dxa"/>
          </w:tcPr>
          <w:p w14:paraId="0D021076" w14:textId="590E2069" w:rsidR="00A863FF" w:rsidRDefault="00B1704B" w:rsidP="00C36F19">
            <w:pPr>
              <w:jc w:val="right"/>
            </w:pPr>
            <w:r>
              <w:t>454,000</w:t>
            </w:r>
          </w:p>
        </w:tc>
        <w:tc>
          <w:tcPr>
            <w:tcW w:w="2254" w:type="dxa"/>
          </w:tcPr>
          <w:p w14:paraId="233E3B30" w14:textId="1DC26937" w:rsidR="00A863FF" w:rsidRDefault="001D2937" w:rsidP="00C36F19">
            <w:pPr>
              <w:jc w:val="right"/>
            </w:pPr>
            <w:r>
              <w:t>809,115</w:t>
            </w:r>
          </w:p>
        </w:tc>
      </w:tr>
      <w:tr w:rsidR="00A863FF" w14:paraId="29160511" w14:textId="77777777" w:rsidTr="00C36F19">
        <w:tc>
          <w:tcPr>
            <w:tcW w:w="2405" w:type="dxa"/>
          </w:tcPr>
          <w:p w14:paraId="08F1DB12" w14:textId="155DC3D0" w:rsidR="00A863FF" w:rsidRDefault="00A863FF"/>
        </w:tc>
        <w:tc>
          <w:tcPr>
            <w:tcW w:w="2103" w:type="dxa"/>
          </w:tcPr>
          <w:p w14:paraId="416DEF3F" w14:textId="77777777" w:rsidR="00A863FF" w:rsidRDefault="00A863FF" w:rsidP="00C36F19">
            <w:pPr>
              <w:jc w:val="right"/>
            </w:pPr>
          </w:p>
        </w:tc>
        <w:tc>
          <w:tcPr>
            <w:tcW w:w="2254" w:type="dxa"/>
          </w:tcPr>
          <w:p w14:paraId="31801616" w14:textId="77777777" w:rsidR="00A863FF" w:rsidRDefault="00A863FF" w:rsidP="00C36F19">
            <w:pPr>
              <w:jc w:val="right"/>
            </w:pPr>
          </w:p>
        </w:tc>
        <w:tc>
          <w:tcPr>
            <w:tcW w:w="2254" w:type="dxa"/>
          </w:tcPr>
          <w:p w14:paraId="19DC0770" w14:textId="77777777" w:rsidR="00A863FF" w:rsidRDefault="00A863FF" w:rsidP="00C36F19">
            <w:pPr>
              <w:jc w:val="right"/>
            </w:pPr>
          </w:p>
        </w:tc>
      </w:tr>
      <w:tr w:rsidR="00A863FF" w14:paraId="31601D82" w14:textId="77777777" w:rsidTr="00C36F19">
        <w:tc>
          <w:tcPr>
            <w:tcW w:w="2405" w:type="dxa"/>
          </w:tcPr>
          <w:p w14:paraId="4CCD2B8D" w14:textId="07C0136E" w:rsidR="00A863FF" w:rsidRDefault="00A863FF">
            <w:r>
              <w:t>Expenditure</w:t>
            </w:r>
          </w:p>
        </w:tc>
        <w:tc>
          <w:tcPr>
            <w:tcW w:w="2103" w:type="dxa"/>
          </w:tcPr>
          <w:p w14:paraId="760C99E9" w14:textId="77777777" w:rsidR="00A863FF" w:rsidRDefault="00A863FF" w:rsidP="00C36F19">
            <w:pPr>
              <w:jc w:val="right"/>
            </w:pPr>
          </w:p>
        </w:tc>
        <w:tc>
          <w:tcPr>
            <w:tcW w:w="2254" w:type="dxa"/>
          </w:tcPr>
          <w:p w14:paraId="5C7969BE" w14:textId="77777777" w:rsidR="00A863FF" w:rsidRDefault="00A863FF" w:rsidP="00C36F19">
            <w:pPr>
              <w:jc w:val="right"/>
            </w:pPr>
          </w:p>
        </w:tc>
        <w:tc>
          <w:tcPr>
            <w:tcW w:w="2254" w:type="dxa"/>
          </w:tcPr>
          <w:p w14:paraId="38DA7FA8" w14:textId="77777777" w:rsidR="00A863FF" w:rsidRDefault="00A863FF" w:rsidP="00C36F19">
            <w:pPr>
              <w:jc w:val="right"/>
            </w:pPr>
          </w:p>
        </w:tc>
      </w:tr>
      <w:tr w:rsidR="00A863FF" w14:paraId="1CCB5CE5" w14:textId="77777777" w:rsidTr="00C36F19">
        <w:tc>
          <w:tcPr>
            <w:tcW w:w="2405" w:type="dxa"/>
          </w:tcPr>
          <w:p w14:paraId="4F58D706" w14:textId="6EB62139" w:rsidR="00A863FF" w:rsidRDefault="00A863FF"/>
        </w:tc>
        <w:tc>
          <w:tcPr>
            <w:tcW w:w="2103" w:type="dxa"/>
          </w:tcPr>
          <w:p w14:paraId="1E3DD002" w14:textId="77777777" w:rsidR="00A863FF" w:rsidRDefault="00A863FF" w:rsidP="00C36F19">
            <w:pPr>
              <w:jc w:val="right"/>
            </w:pPr>
          </w:p>
        </w:tc>
        <w:tc>
          <w:tcPr>
            <w:tcW w:w="2254" w:type="dxa"/>
          </w:tcPr>
          <w:p w14:paraId="44619380" w14:textId="77777777" w:rsidR="00A863FF" w:rsidRDefault="00A863FF" w:rsidP="00C36F19">
            <w:pPr>
              <w:jc w:val="right"/>
            </w:pPr>
          </w:p>
        </w:tc>
        <w:tc>
          <w:tcPr>
            <w:tcW w:w="2254" w:type="dxa"/>
          </w:tcPr>
          <w:p w14:paraId="6E6466DF" w14:textId="77777777" w:rsidR="00A863FF" w:rsidRDefault="00A863FF" w:rsidP="00C36F19">
            <w:pPr>
              <w:jc w:val="right"/>
            </w:pPr>
          </w:p>
        </w:tc>
      </w:tr>
      <w:tr w:rsidR="00A863FF" w14:paraId="6CC39DA8" w14:textId="77777777" w:rsidTr="00C36F19">
        <w:tc>
          <w:tcPr>
            <w:tcW w:w="2405" w:type="dxa"/>
          </w:tcPr>
          <w:p w14:paraId="40B7759D" w14:textId="5A8608BA" w:rsidR="00A863FF" w:rsidRDefault="00A863FF">
            <w:r>
              <w:t>Wages</w:t>
            </w:r>
          </w:p>
        </w:tc>
        <w:tc>
          <w:tcPr>
            <w:tcW w:w="2103" w:type="dxa"/>
          </w:tcPr>
          <w:p w14:paraId="5927D942" w14:textId="31427EBA" w:rsidR="00A863FF" w:rsidRDefault="00B1704B" w:rsidP="00C36F19">
            <w:pPr>
              <w:jc w:val="right"/>
            </w:pPr>
            <w:r>
              <w:t>207</w:t>
            </w:r>
            <w:r w:rsidR="00E55A29">
              <w:t>,</w:t>
            </w:r>
            <w:r>
              <w:t>467</w:t>
            </w:r>
          </w:p>
        </w:tc>
        <w:tc>
          <w:tcPr>
            <w:tcW w:w="2254" w:type="dxa"/>
          </w:tcPr>
          <w:p w14:paraId="68C68EEB" w14:textId="55C80287" w:rsidR="00A863FF" w:rsidRDefault="00B1704B" w:rsidP="00C36F19">
            <w:pPr>
              <w:jc w:val="right"/>
            </w:pPr>
            <w:r>
              <w:t>201,600</w:t>
            </w:r>
          </w:p>
        </w:tc>
        <w:tc>
          <w:tcPr>
            <w:tcW w:w="2254" w:type="dxa"/>
          </w:tcPr>
          <w:p w14:paraId="2465B453" w14:textId="0E226722" w:rsidR="00A863FF" w:rsidRDefault="00B1704B" w:rsidP="00C36F19">
            <w:pPr>
              <w:jc w:val="right"/>
            </w:pPr>
            <w:r>
              <w:t>161,985</w:t>
            </w:r>
          </w:p>
        </w:tc>
      </w:tr>
      <w:tr w:rsidR="00A863FF" w14:paraId="5BD9978C" w14:textId="77777777" w:rsidTr="00C36F19">
        <w:tc>
          <w:tcPr>
            <w:tcW w:w="2405" w:type="dxa"/>
          </w:tcPr>
          <w:p w14:paraId="27841724" w14:textId="116A5F56" w:rsidR="00A863FF" w:rsidRDefault="00A863FF">
            <w:r>
              <w:t>Office</w:t>
            </w:r>
          </w:p>
        </w:tc>
        <w:tc>
          <w:tcPr>
            <w:tcW w:w="2103" w:type="dxa"/>
          </w:tcPr>
          <w:p w14:paraId="11788324" w14:textId="4776E520" w:rsidR="00A863FF" w:rsidRDefault="00B1704B" w:rsidP="00C36F19">
            <w:pPr>
              <w:jc w:val="right"/>
            </w:pPr>
            <w:r>
              <w:t>46,404</w:t>
            </w:r>
          </w:p>
        </w:tc>
        <w:tc>
          <w:tcPr>
            <w:tcW w:w="2254" w:type="dxa"/>
          </w:tcPr>
          <w:p w14:paraId="574BC55B" w14:textId="5D3AFB03" w:rsidR="00A863FF" w:rsidRDefault="00B1704B" w:rsidP="00C36F19">
            <w:pPr>
              <w:jc w:val="right"/>
            </w:pPr>
            <w:r>
              <w:t>74,880</w:t>
            </w:r>
          </w:p>
        </w:tc>
        <w:tc>
          <w:tcPr>
            <w:tcW w:w="2254" w:type="dxa"/>
          </w:tcPr>
          <w:p w14:paraId="10DF26A1" w14:textId="42A3B80B" w:rsidR="00A863FF" w:rsidRDefault="00B1704B" w:rsidP="00C36F19">
            <w:pPr>
              <w:jc w:val="right"/>
            </w:pPr>
            <w:r>
              <w:t>51,561</w:t>
            </w:r>
          </w:p>
        </w:tc>
      </w:tr>
      <w:tr w:rsidR="00A863FF" w14:paraId="3623F6AE" w14:textId="77777777" w:rsidTr="00C36F19">
        <w:tc>
          <w:tcPr>
            <w:tcW w:w="2405" w:type="dxa"/>
          </w:tcPr>
          <w:p w14:paraId="4597C461" w14:textId="6EAA729E" w:rsidR="00A863FF" w:rsidRDefault="00B1704B">
            <w:r>
              <w:t>Legal &amp; Professional</w:t>
            </w:r>
          </w:p>
        </w:tc>
        <w:tc>
          <w:tcPr>
            <w:tcW w:w="2103" w:type="dxa"/>
          </w:tcPr>
          <w:p w14:paraId="6A559401" w14:textId="0EF4741E" w:rsidR="00A863FF" w:rsidRDefault="00B1704B" w:rsidP="00C36F19">
            <w:pPr>
              <w:jc w:val="right"/>
            </w:pPr>
            <w:r>
              <w:t>97,321</w:t>
            </w:r>
          </w:p>
        </w:tc>
        <w:tc>
          <w:tcPr>
            <w:tcW w:w="2254" w:type="dxa"/>
          </w:tcPr>
          <w:p w14:paraId="701BD13D" w14:textId="03D56EBB" w:rsidR="00A863FF" w:rsidRDefault="00B1704B" w:rsidP="00C36F19">
            <w:pPr>
              <w:jc w:val="right"/>
            </w:pPr>
            <w:r>
              <w:t>18,000</w:t>
            </w:r>
          </w:p>
        </w:tc>
        <w:tc>
          <w:tcPr>
            <w:tcW w:w="2254" w:type="dxa"/>
          </w:tcPr>
          <w:p w14:paraId="7636FA0F" w14:textId="36EBC06E" w:rsidR="00A863FF" w:rsidRDefault="00B1704B" w:rsidP="00C36F19">
            <w:pPr>
              <w:jc w:val="right"/>
            </w:pPr>
            <w:r>
              <w:t>93,345</w:t>
            </w:r>
          </w:p>
        </w:tc>
      </w:tr>
      <w:tr w:rsidR="00A863FF" w14:paraId="170BB1AA" w14:textId="77777777" w:rsidTr="00C36F19">
        <w:tc>
          <w:tcPr>
            <w:tcW w:w="2405" w:type="dxa"/>
          </w:tcPr>
          <w:p w14:paraId="1CBB33F9" w14:textId="5A0EF683" w:rsidR="00A863FF" w:rsidRDefault="00B1704B">
            <w:r>
              <w:t>Property</w:t>
            </w:r>
          </w:p>
        </w:tc>
        <w:tc>
          <w:tcPr>
            <w:tcW w:w="2103" w:type="dxa"/>
          </w:tcPr>
          <w:p w14:paraId="54C5AB3A" w14:textId="551D18A7" w:rsidR="00A863FF" w:rsidRDefault="00B1704B" w:rsidP="00C36F19">
            <w:pPr>
              <w:jc w:val="right"/>
            </w:pPr>
            <w:r>
              <w:t>69,252</w:t>
            </w:r>
          </w:p>
        </w:tc>
        <w:tc>
          <w:tcPr>
            <w:tcW w:w="2254" w:type="dxa"/>
          </w:tcPr>
          <w:p w14:paraId="3E46ACC2" w14:textId="29D79C3A" w:rsidR="00A863FF" w:rsidRDefault="00B1704B" w:rsidP="00C36F19">
            <w:pPr>
              <w:jc w:val="right"/>
            </w:pPr>
            <w:r>
              <w:t>60,000</w:t>
            </w:r>
          </w:p>
        </w:tc>
        <w:tc>
          <w:tcPr>
            <w:tcW w:w="2254" w:type="dxa"/>
          </w:tcPr>
          <w:p w14:paraId="385E5C67" w14:textId="3ABE10C3" w:rsidR="00A863FF" w:rsidRDefault="00B1704B" w:rsidP="00C36F19">
            <w:pPr>
              <w:jc w:val="right"/>
            </w:pPr>
            <w:r>
              <w:t>26,367</w:t>
            </w:r>
          </w:p>
        </w:tc>
      </w:tr>
      <w:tr w:rsidR="00A863FF" w14:paraId="2DFEAF99" w14:textId="77777777" w:rsidTr="00C36F19">
        <w:tc>
          <w:tcPr>
            <w:tcW w:w="2405" w:type="dxa"/>
          </w:tcPr>
          <w:p w14:paraId="36AB7CDB" w14:textId="528AB076" w:rsidR="00A863FF" w:rsidRDefault="00B1704B">
            <w:r>
              <w:t>Audit</w:t>
            </w:r>
          </w:p>
        </w:tc>
        <w:tc>
          <w:tcPr>
            <w:tcW w:w="2103" w:type="dxa"/>
          </w:tcPr>
          <w:p w14:paraId="6BE1BCF1" w14:textId="298B2A86" w:rsidR="00A863FF" w:rsidRDefault="00B1704B" w:rsidP="00C36F19">
            <w:pPr>
              <w:jc w:val="right"/>
            </w:pPr>
            <w:r>
              <w:t>12,888</w:t>
            </w:r>
          </w:p>
        </w:tc>
        <w:tc>
          <w:tcPr>
            <w:tcW w:w="2254" w:type="dxa"/>
          </w:tcPr>
          <w:p w14:paraId="4E1A4C28" w14:textId="66FCAE1A" w:rsidR="00A863FF" w:rsidRDefault="00B1704B" w:rsidP="00C36F19">
            <w:pPr>
              <w:jc w:val="right"/>
            </w:pPr>
            <w:r>
              <w:t>8,000</w:t>
            </w:r>
          </w:p>
        </w:tc>
        <w:tc>
          <w:tcPr>
            <w:tcW w:w="2254" w:type="dxa"/>
          </w:tcPr>
          <w:p w14:paraId="61E875DE" w14:textId="3B26BE85" w:rsidR="00A863FF" w:rsidRDefault="00B1704B" w:rsidP="00C36F19">
            <w:pPr>
              <w:jc w:val="right"/>
            </w:pPr>
            <w:r>
              <w:t>16,100</w:t>
            </w:r>
          </w:p>
        </w:tc>
      </w:tr>
      <w:tr w:rsidR="00A863FF" w14:paraId="6110787B" w14:textId="77777777" w:rsidTr="00C36F19">
        <w:tc>
          <w:tcPr>
            <w:tcW w:w="2405" w:type="dxa"/>
          </w:tcPr>
          <w:p w14:paraId="1EA35447" w14:textId="410D9920" w:rsidR="00A863FF" w:rsidRDefault="00B1704B">
            <w:r>
              <w:t>Other</w:t>
            </w:r>
          </w:p>
        </w:tc>
        <w:tc>
          <w:tcPr>
            <w:tcW w:w="2103" w:type="dxa"/>
          </w:tcPr>
          <w:p w14:paraId="7AE4FD82" w14:textId="5D3E40D9" w:rsidR="00BF0018" w:rsidRDefault="00BF0018" w:rsidP="00463D47">
            <w:pPr>
              <w:jc w:val="right"/>
            </w:pPr>
            <w:r>
              <w:t>135,763</w:t>
            </w:r>
          </w:p>
        </w:tc>
        <w:tc>
          <w:tcPr>
            <w:tcW w:w="2254" w:type="dxa"/>
          </w:tcPr>
          <w:p w14:paraId="3DDE5CA3" w14:textId="0236C183" w:rsidR="00A863FF" w:rsidRDefault="00B1704B" w:rsidP="00C36F19">
            <w:pPr>
              <w:jc w:val="right"/>
            </w:pPr>
            <w:r>
              <w:t>79,600</w:t>
            </w:r>
          </w:p>
        </w:tc>
        <w:tc>
          <w:tcPr>
            <w:tcW w:w="2254" w:type="dxa"/>
          </w:tcPr>
          <w:p w14:paraId="1694AF29" w14:textId="53F362CA" w:rsidR="00A863FF" w:rsidRDefault="001D2937" w:rsidP="00C36F19">
            <w:pPr>
              <w:jc w:val="right"/>
            </w:pPr>
            <w:r>
              <w:t>163,694</w:t>
            </w:r>
          </w:p>
        </w:tc>
      </w:tr>
      <w:tr w:rsidR="00A863FF" w14:paraId="5FE2DC94" w14:textId="77777777" w:rsidTr="00C36F19">
        <w:tc>
          <w:tcPr>
            <w:tcW w:w="2405" w:type="dxa"/>
          </w:tcPr>
          <w:p w14:paraId="4FEAF68D" w14:textId="56F5BFAA" w:rsidR="00A863FF" w:rsidRDefault="00B1704B">
            <w:r>
              <w:t>Total</w:t>
            </w:r>
          </w:p>
        </w:tc>
        <w:tc>
          <w:tcPr>
            <w:tcW w:w="2103" w:type="dxa"/>
          </w:tcPr>
          <w:p w14:paraId="04016055" w14:textId="67C73016" w:rsidR="00A863FF" w:rsidRDefault="00B04677" w:rsidP="00C36F19">
            <w:pPr>
              <w:jc w:val="right"/>
            </w:pPr>
            <w:r>
              <w:t>569,095</w:t>
            </w:r>
          </w:p>
        </w:tc>
        <w:tc>
          <w:tcPr>
            <w:tcW w:w="2254" w:type="dxa"/>
          </w:tcPr>
          <w:p w14:paraId="43D95FF1" w14:textId="2B311391" w:rsidR="00A863FF" w:rsidRDefault="00B1704B" w:rsidP="00C36F19">
            <w:pPr>
              <w:jc w:val="right"/>
            </w:pPr>
            <w:r>
              <w:t>442,080</w:t>
            </w:r>
          </w:p>
        </w:tc>
        <w:tc>
          <w:tcPr>
            <w:tcW w:w="2254" w:type="dxa"/>
          </w:tcPr>
          <w:p w14:paraId="054269D6" w14:textId="2F53A4CE" w:rsidR="00A863FF" w:rsidRDefault="001D2937" w:rsidP="00C36F19">
            <w:pPr>
              <w:jc w:val="right"/>
            </w:pPr>
            <w:r>
              <w:t>513,052</w:t>
            </w:r>
          </w:p>
        </w:tc>
      </w:tr>
      <w:tr w:rsidR="00A863FF" w14:paraId="37CC59E1" w14:textId="77777777" w:rsidTr="00C36F19">
        <w:tc>
          <w:tcPr>
            <w:tcW w:w="2405" w:type="dxa"/>
          </w:tcPr>
          <w:p w14:paraId="1D350F8E" w14:textId="2CC6CF2D" w:rsidR="00A863FF" w:rsidRDefault="00A863FF"/>
        </w:tc>
        <w:tc>
          <w:tcPr>
            <w:tcW w:w="2103" w:type="dxa"/>
          </w:tcPr>
          <w:p w14:paraId="17A282BF" w14:textId="77777777" w:rsidR="00A863FF" w:rsidRDefault="00A863FF" w:rsidP="00C36F19">
            <w:pPr>
              <w:jc w:val="right"/>
            </w:pPr>
          </w:p>
        </w:tc>
        <w:tc>
          <w:tcPr>
            <w:tcW w:w="2254" w:type="dxa"/>
          </w:tcPr>
          <w:p w14:paraId="507E89CA" w14:textId="77777777" w:rsidR="00A863FF" w:rsidRDefault="00A863FF" w:rsidP="00C36F19">
            <w:pPr>
              <w:jc w:val="right"/>
            </w:pPr>
          </w:p>
        </w:tc>
        <w:tc>
          <w:tcPr>
            <w:tcW w:w="2254" w:type="dxa"/>
          </w:tcPr>
          <w:p w14:paraId="2178F143" w14:textId="77777777" w:rsidR="00A863FF" w:rsidRDefault="00A863FF" w:rsidP="00C36F19">
            <w:pPr>
              <w:jc w:val="right"/>
            </w:pPr>
          </w:p>
        </w:tc>
      </w:tr>
      <w:tr w:rsidR="00A863FF" w14:paraId="4FCA1C8F" w14:textId="77777777" w:rsidTr="00C36F19">
        <w:tc>
          <w:tcPr>
            <w:tcW w:w="2405" w:type="dxa"/>
          </w:tcPr>
          <w:p w14:paraId="35A0CB9B" w14:textId="03877942" w:rsidR="00A863FF" w:rsidRDefault="00A863FF">
            <w:r>
              <w:t>Gain/Loss</w:t>
            </w:r>
          </w:p>
        </w:tc>
        <w:tc>
          <w:tcPr>
            <w:tcW w:w="2103" w:type="dxa"/>
          </w:tcPr>
          <w:p w14:paraId="74AFBBFE" w14:textId="43DE6F94" w:rsidR="00A863FF" w:rsidRDefault="000F451C" w:rsidP="00C36F19">
            <w:pPr>
              <w:jc w:val="right"/>
            </w:pPr>
            <w:r>
              <w:t>450,242</w:t>
            </w:r>
          </w:p>
        </w:tc>
        <w:tc>
          <w:tcPr>
            <w:tcW w:w="2254" w:type="dxa"/>
          </w:tcPr>
          <w:p w14:paraId="14CBF271" w14:textId="19EE3A8F" w:rsidR="00A863FF" w:rsidRDefault="003E44CA" w:rsidP="00C36F19">
            <w:pPr>
              <w:jc w:val="right"/>
            </w:pPr>
            <w:r>
              <w:t>11,920</w:t>
            </w:r>
          </w:p>
        </w:tc>
        <w:tc>
          <w:tcPr>
            <w:tcW w:w="2254" w:type="dxa"/>
          </w:tcPr>
          <w:p w14:paraId="6F209391" w14:textId="65A9DE6F" w:rsidR="001D2937" w:rsidRDefault="001D2937" w:rsidP="001D2937">
            <w:pPr>
              <w:jc w:val="right"/>
            </w:pPr>
            <w:r>
              <w:t>296,063</w:t>
            </w:r>
          </w:p>
        </w:tc>
      </w:tr>
    </w:tbl>
    <w:p w14:paraId="6B2A0107" w14:textId="77777777" w:rsidR="00F251F2" w:rsidRDefault="00F251F2"/>
    <w:p w14:paraId="480FA2EA" w14:textId="644F172A" w:rsidR="003B68EB" w:rsidRPr="008420AD" w:rsidRDefault="003B68EB" w:rsidP="003B68EB">
      <w:pPr>
        <w:pStyle w:val="ListParagraph"/>
        <w:numPr>
          <w:ilvl w:val="0"/>
          <w:numId w:val="1"/>
        </w:numPr>
      </w:pPr>
      <w:r w:rsidRPr="008420AD">
        <w:t xml:space="preserve">Income much higher than budgeted as </w:t>
      </w:r>
      <w:r w:rsidR="00A7062E" w:rsidRPr="008420AD">
        <w:t xml:space="preserve">large gain on </w:t>
      </w:r>
      <w:r w:rsidR="008420AD" w:rsidRPr="008420AD">
        <w:t>s</w:t>
      </w:r>
      <w:r w:rsidR="00A7062E" w:rsidRPr="008420AD">
        <w:t xml:space="preserve">ale of Cumbernauld and also </w:t>
      </w:r>
      <w:r w:rsidR="008547DB" w:rsidRPr="008420AD">
        <w:t>s</w:t>
      </w:r>
      <w:r w:rsidR="00A7062E" w:rsidRPr="008420AD">
        <w:t>ale of Righead in East Kilbride.</w:t>
      </w:r>
    </w:p>
    <w:p w14:paraId="6C9A7322" w14:textId="1890980E" w:rsidR="00A7062E" w:rsidRPr="008420AD" w:rsidRDefault="00A7062E" w:rsidP="003B68EB">
      <w:pPr>
        <w:pStyle w:val="ListParagraph"/>
        <w:numPr>
          <w:ilvl w:val="0"/>
          <w:numId w:val="1"/>
        </w:numPr>
      </w:pPr>
      <w:r w:rsidRPr="008420AD">
        <w:t>Investments decreased in value during the year by around £20K but this was offset by a large gain in Interest due to the loan to Dunfermline.</w:t>
      </w:r>
    </w:p>
    <w:p w14:paraId="14E5AA57" w14:textId="3EFCA87F" w:rsidR="00A7062E" w:rsidRPr="008420AD" w:rsidRDefault="00A7062E" w:rsidP="003B68EB">
      <w:pPr>
        <w:pStyle w:val="ListParagraph"/>
        <w:numPr>
          <w:ilvl w:val="0"/>
          <w:numId w:val="1"/>
        </w:numPr>
      </w:pPr>
      <w:r w:rsidRPr="008420AD">
        <w:t>There was a big increase in wages during the year due to the increase in staff numbers however overall office cost were kept under control and came in under budget.</w:t>
      </w:r>
    </w:p>
    <w:p w14:paraId="03110A77" w14:textId="45D77538" w:rsidR="00A7062E" w:rsidRPr="008420AD" w:rsidRDefault="00A7062E" w:rsidP="003B68EB">
      <w:pPr>
        <w:pStyle w:val="ListParagraph"/>
        <w:numPr>
          <w:ilvl w:val="0"/>
          <w:numId w:val="1"/>
        </w:numPr>
      </w:pPr>
      <w:r w:rsidRPr="008420AD">
        <w:t>Very large overspend in Legal and professional which was partly to do with legal fees for property sales</w:t>
      </w:r>
      <w:r w:rsidR="00B439A3" w:rsidRPr="008420AD">
        <w:t>.</w:t>
      </w:r>
    </w:p>
    <w:p w14:paraId="0BA73E83" w14:textId="54402C75" w:rsidR="00A7062E" w:rsidRPr="008420AD" w:rsidRDefault="00A7062E" w:rsidP="003B68EB">
      <w:pPr>
        <w:pStyle w:val="ListParagraph"/>
        <w:numPr>
          <w:ilvl w:val="0"/>
          <w:numId w:val="1"/>
        </w:numPr>
      </w:pPr>
      <w:r w:rsidRPr="008420AD">
        <w:t>Audit fees is an estimate for the time being as we don’t have the bill in yet</w:t>
      </w:r>
    </w:p>
    <w:p w14:paraId="55A4A413" w14:textId="006289AB" w:rsidR="00A7062E" w:rsidRPr="008420AD" w:rsidRDefault="00A7062E" w:rsidP="003B68EB">
      <w:pPr>
        <w:pStyle w:val="ListParagraph"/>
        <w:numPr>
          <w:ilvl w:val="0"/>
          <w:numId w:val="1"/>
        </w:numPr>
      </w:pPr>
      <w:r w:rsidRPr="008420AD">
        <w:t>Overall looks to be a good gain for the year.</w:t>
      </w:r>
    </w:p>
    <w:p w14:paraId="2C529E79" w14:textId="77777777" w:rsidR="00F06892" w:rsidRPr="008420AD" w:rsidRDefault="00F06892" w:rsidP="00F06892"/>
    <w:p w14:paraId="30FD6F34" w14:textId="21058B5A" w:rsidR="00F06892" w:rsidRPr="008420AD" w:rsidRDefault="00F06892" w:rsidP="00F06892">
      <w:r w:rsidRPr="008420AD">
        <w:t>Property</w:t>
      </w:r>
    </w:p>
    <w:p w14:paraId="13A6DA84" w14:textId="44569F27" w:rsidR="00F06892" w:rsidRPr="008420AD" w:rsidRDefault="00F06892" w:rsidP="00F06892">
      <w:pPr>
        <w:pStyle w:val="ListParagraph"/>
        <w:numPr>
          <w:ilvl w:val="0"/>
          <w:numId w:val="2"/>
        </w:numPr>
      </w:pPr>
      <w:r w:rsidRPr="008420AD">
        <w:t>Stewarton toilets work going ahead. Project manager has been appointed.</w:t>
      </w:r>
      <w:r w:rsidR="00FA1B82" w:rsidRPr="008420AD">
        <w:t xml:space="preserve"> The budget is around £40K</w:t>
      </w:r>
    </w:p>
    <w:p w14:paraId="445170D0" w14:textId="7FA299E6" w:rsidR="00F06892" w:rsidRPr="008420AD" w:rsidRDefault="00F06892" w:rsidP="00F06892">
      <w:pPr>
        <w:pStyle w:val="ListParagraph"/>
        <w:numPr>
          <w:ilvl w:val="0"/>
          <w:numId w:val="2"/>
        </w:numPr>
      </w:pPr>
      <w:r w:rsidRPr="008420AD">
        <w:t xml:space="preserve">Purchased a manse </w:t>
      </w:r>
      <w:r w:rsidR="00DD3E32" w:rsidRPr="008420AD">
        <w:t>for North of the Clyde</w:t>
      </w:r>
      <w:r w:rsidR="000B6BB6" w:rsidRPr="008420AD">
        <w:t xml:space="preserve"> Cluster</w:t>
      </w:r>
      <w:r w:rsidRPr="008420AD">
        <w:t xml:space="preserve"> </w:t>
      </w:r>
      <w:r w:rsidR="00530E5C" w:rsidRPr="008420AD">
        <w:t>minister,</w:t>
      </w:r>
      <w:r w:rsidRPr="008420AD">
        <w:t xml:space="preserve"> Joshua</w:t>
      </w:r>
      <w:r w:rsidR="006D07B0" w:rsidRPr="008420AD">
        <w:t xml:space="preserve"> </w:t>
      </w:r>
      <w:r w:rsidR="00DD3E32" w:rsidRPr="008420AD">
        <w:t>Daka</w:t>
      </w:r>
      <w:r w:rsidR="00530E5C" w:rsidRPr="008420AD">
        <w:t>,</w:t>
      </w:r>
      <w:r w:rsidRPr="008420AD">
        <w:t xml:space="preserve"> when he get</w:t>
      </w:r>
      <w:r w:rsidR="00FA1B82" w:rsidRPr="008420AD">
        <w:t>s</w:t>
      </w:r>
      <w:r w:rsidRPr="008420AD">
        <w:t xml:space="preserve"> his Visa</w:t>
      </w:r>
      <w:r w:rsidR="00530E5C" w:rsidRPr="008420AD">
        <w:t>.</w:t>
      </w:r>
    </w:p>
    <w:p w14:paraId="12173385" w14:textId="533559B2" w:rsidR="00F06892" w:rsidRPr="008420AD" w:rsidRDefault="00FA1B82" w:rsidP="00F06892">
      <w:pPr>
        <w:pStyle w:val="ListParagraph"/>
        <w:numPr>
          <w:ilvl w:val="0"/>
          <w:numId w:val="2"/>
        </w:numPr>
      </w:pPr>
      <w:r w:rsidRPr="008420AD">
        <w:lastRenderedPageBreak/>
        <w:t xml:space="preserve">Greenock West is still for </w:t>
      </w:r>
      <w:r w:rsidR="008547DB" w:rsidRPr="008420AD">
        <w:t>s</w:t>
      </w:r>
      <w:r w:rsidRPr="008420AD">
        <w:t>ale. The original buyer reduced his offer and it is yet to be confirmed</w:t>
      </w:r>
      <w:r w:rsidR="00D2260B" w:rsidRPr="008420AD">
        <w:t xml:space="preserve"> if they </w:t>
      </w:r>
      <w:r w:rsidR="0041146B" w:rsidRPr="008420AD">
        <w:t xml:space="preserve">will proceed with the purchase.  Previous </w:t>
      </w:r>
      <w:r w:rsidR="004E7F92" w:rsidRPr="008420AD">
        <w:t>interested parties have been contacted</w:t>
      </w:r>
      <w:r w:rsidR="00F41D94" w:rsidRPr="008420AD">
        <w:t>.</w:t>
      </w:r>
    </w:p>
    <w:p w14:paraId="6C9A2279" w14:textId="079C18DE" w:rsidR="00FA1B82" w:rsidRPr="008420AD" w:rsidRDefault="00FA1B82" w:rsidP="00F06892">
      <w:pPr>
        <w:pStyle w:val="ListParagraph"/>
        <w:numPr>
          <w:ilvl w:val="0"/>
          <w:numId w:val="2"/>
        </w:numPr>
      </w:pPr>
      <w:r w:rsidRPr="008420AD">
        <w:t xml:space="preserve">North Platt </w:t>
      </w:r>
      <w:r w:rsidR="00F41D94" w:rsidRPr="008420AD">
        <w:t xml:space="preserve">Crescent </w:t>
      </w:r>
      <w:r w:rsidRPr="008420AD">
        <w:t>i</w:t>
      </w:r>
      <w:r w:rsidR="00EC6E51" w:rsidRPr="008420AD">
        <w:t xml:space="preserve">s </w:t>
      </w:r>
      <w:r w:rsidRPr="008420AD">
        <w:t>up for sale and there are several viewings booked.</w:t>
      </w:r>
    </w:p>
    <w:p w14:paraId="6CA793DD" w14:textId="211B0F1E" w:rsidR="00FA1B82" w:rsidRPr="008420AD" w:rsidRDefault="00FA1B82" w:rsidP="00F06892">
      <w:pPr>
        <w:pStyle w:val="ListParagraph"/>
        <w:numPr>
          <w:ilvl w:val="0"/>
          <w:numId w:val="2"/>
        </w:numPr>
      </w:pPr>
      <w:r w:rsidRPr="008420AD">
        <w:t>Balfron Drive is being prepared for sale</w:t>
      </w:r>
      <w:r w:rsidR="00E12037" w:rsidRPr="008420AD">
        <w:t xml:space="preserve"> so hopefully on the market soon.</w:t>
      </w:r>
    </w:p>
    <w:p w14:paraId="790072A1" w14:textId="31550A7E" w:rsidR="00861366" w:rsidRPr="008420AD" w:rsidRDefault="00FA1B82" w:rsidP="00F06892">
      <w:pPr>
        <w:pStyle w:val="ListParagraph"/>
        <w:numPr>
          <w:ilvl w:val="0"/>
          <w:numId w:val="2"/>
        </w:numPr>
      </w:pPr>
      <w:r w:rsidRPr="008420AD">
        <w:t>Hawthorn Way is also for sale</w:t>
      </w:r>
      <w:r w:rsidR="00A712B5" w:rsidRPr="008420AD">
        <w:t>, a</w:t>
      </w:r>
      <w:r w:rsidR="00861366" w:rsidRPr="008420AD">
        <w:t xml:space="preserve">n </w:t>
      </w:r>
      <w:r w:rsidR="00A712B5" w:rsidRPr="008420AD">
        <w:t>offer of £42</w:t>
      </w:r>
      <w:r w:rsidR="00551AE6">
        <w:t>5</w:t>
      </w:r>
      <w:r w:rsidR="00A712B5" w:rsidRPr="008420AD">
        <w:t>k has been received</w:t>
      </w:r>
      <w:r w:rsidR="00861366" w:rsidRPr="008420AD">
        <w:t>.</w:t>
      </w:r>
    </w:p>
    <w:p w14:paraId="5E37F66D" w14:textId="77777777" w:rsidR="00861366" w:rsidRPr="008420AD" w:rsidRDefault="00861366" w:rsidP="00861366">
      <w:pPr>
        <w:pStyle w:val="ListParagraph"/>
      </w:pPr>
    </w:p>
    <w:p w14:paraId="54A32501" w14:textId="41122FD3" w:rsidR="00861366" w:rsidRPr="008420AD" w:rsidRDefault="00861366" w:rsidP="00861366">
      <w:r w:rsidRPr="008420AD">
        <w:t>M&amp;M</w:t>
      </w:r>
    </w:p>
    <w:p w14:paraId="2E7620F3" w14:textId="73CF057C" w:rsidR="009B7577" w:rsidRDefault="009B7577" w:rsidP="009B7577">
      <w:r w:rsidRPr="008420AD">
        <w:t xml:space="preserve">Under the new system we have asked for a total of £550K. However there </w:t>
      </w:r>
      <w:r w:rsidR="00872B7C" w:rsidRPr="008420AD">
        <w:t>were</w:t>
      </w:r>
      <w:r w:rsidRPr="008420AD">
        <w:t xml:space="preserve"> several appeals</w:t>
      </w:r>
      <w:r w:rsidR="00872B7C" w:rsidRPr="008420AD">
        <w:t xml:space="preserve">. The majority have now been resolved but there are still one or two </w:t>
      </w:r>
      <w:r w:rsidR="004318E5" w:rsidRPr="008420AD">
        <w:t>churches who are not happy and we are working to try and resolve them</w:t>
      </w:r>
      <w:r w:rsidR="00A95826" w:rsidRPr="008420AD">
        <w:t xml:space="preserve">. The new formula </w:t>
      </w:r>
      <w:r w:rsidR="00611143" w:rsidRPr="008420AD">
        <w:t>tries to be fair across all the churches but not all agree with the new policy</w:t>
      </w:r>
      <w:r w:rsidR="00AF03BF" w:rsidRPr="008420AD">
        <w:t>.</w:t>
      </w:r>
    </w:p>
    <w:p w14:paraId="69060F9B" w14:textId="2E715880" w:rsidR="00CE04EE" w:rsidRPr="008420AD" w:rsidRDefault="001B71F1" w:rsidP="009B7577">
      <w:r>
        <w:t xml:space="preserve">We were looking for £31,615 for January </w:t>
      </w:r>
      <w:r w:rsidR="00FA73DD">
        <w:t>and we are only £1,900 short of that</w:t>
      </w:r>
      <w:r w:rsidR="00AF724C">
        <w:t>.</w:t>
      </w:r>
    </w:p>
    <w:p w14:paraId="595E9046" w14:textId="0EB27AD0" w:rsidR="00403686" w:rsidRPr="008420AD" w:rsidRDefault="00403686" w:rsidP="00F06892"/>
    <w:sectPr w:rsidR="00403686" w:rsidRPr="008420A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CCF6D" w14:textId="77777777" w:rsidR="008C1D1C" w:rsidRDefault="008C1D1C" w:rsidP="008420AD">
      <w:pPr>
        <w:spacing w:after="0" w:line="240" w:lineRule="auto"/>
      </w:pPr>
      <w:r>
        <w:separator/>
      </w:r>
    </w:p>
  </w:endnote>
  <w:endnote w:type="continuationSeparator" w:id="0">
    <w:p w14:paraId="2270D0DF" w14:textId="77777777" w:rsidR="008C1D1C" w:rsidRDefault="008C1D1C" w:rsidP="00842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CA3A9" w14:textId="77777777" w:rsidR="008C1D1C" w:rsidRDefault="008C1D1C" w:rsidP="008420AD">
      <w:pPr>
        <w:spacing w:after="0" w:line="240" w:lineRule="auto"/>
      </w:pPr>
      <w:r>
        <w:separator/>
      </w:r>
    </w:p>
  </w:footnote>
  <w:footnote w:type="continuationSeparator" w:id="0">
    <w:p w14:paraId="767011C4" w14:textId="77777777" w:rsidR="008C1D1C" w:rsidRDefault="008C1D1C" w:rsidP="00842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03884" w14:textId="68CC256C" w:rsidR="008420AD" w:rsidRDefault="008420AD">
    <w:pPr>
      <w:pStyle w:val="Header"/>
    </w:pPr>
    <w:r>
      <w:t>Resources Paper March 2026</w:t>
    </w:r>
  </w:p>
  <w:p w14:paraId="32B1AD0B" w14:textId="77777777" w:rsidR="008420AD" w:rsidRDefault="008420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F870EB"/>
    <w:multiLevelType w:val="hybridMultilevel"/>
    <w:tmpl w:val="5B7E85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2D152E"/>
    <w:multiLevelType w:val="hybridMultilevel"/>
    <w:tmpl w:val="76EEF0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3507800">
    <w:abstractNumId w:val="1"/>
  </w:num>
  <w:num w:numId="2" w16cid:durableId="996150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3FF"/>
    <w:rsid w:val="000B6BB6"/>
    <w:rsid w:val="000F451C"/>
    <w:rsid w:val="000F61D5"/>
    <w:rsid w:val="001B71F1"/>
    <w:rsid w:val="001D2937"/>
    <w:rsid w:val="00276ADC"/>
    <w:rsid w:val="00327D11"/>
    <w:rsid w:val="003901C0"/>
    <w:rsid w:val="003B68EB"/>
    <w:rsid w:val="003E44CA"/>
    <w:rsid w:val="00403686"/>
    <w:rsid w:val="0041146B"/>
    <w:rsid w:val="004318E5"/>
    <w:rsid w:val="00463D47"/>
    <w:rsid w:val="004E7F92"/>
    <w:rsid w:val="00530E5C"/>
    <w:rsid w:val="00551AE6"/>
    <w:rsid w:val="005A5122"/>
    <w:rsid w:val="005D040F"/>
    <w:rsid w:val="005E5981"/>
    <w:rsid w:val="00611143"/>
    <w:rsid w:val="006631C9"/>
    <w:rsid w:val="006913C1"/>
    <w:rsid w:val="006D07B0"/>
    <w:rsid w:val="00806AD5"/>
    <w:rsid w:val="008420AD"/>
    <w:rsid w:val="008547DB"/>
    <w:rsid w:val="00861366"/>
    <w:rsid w:val="00872B7C"/>
    <w:rsid w:val="00873A72"/>
    <w:rsid w:val="008C1D1C"/>
    <w:rsid w:val="009B7577"/>
    <w:rsid w:val="00A458AA"/>
    <w:rsid w:val="00A7062E"/>
    <w:rsid w:val="00A712B5"/>
    <w:rsid w:val="00A863FF"/>
    <w:rsid w:val="00A91174"/>
    <w:rsid w:val="00A95826"/>
    <w:rsid w:val="00AE300C"/>
    <w:rsid w:val="00AF03BF"/>
    <w:rsid w:val="00AF724C"/>
    <w:rsid w:val="00B04677"/>
    <w:rsid w:val="00B1704B"/>
    <w:rsid w:val="00B439A3"/>
    <w:rsid w:val="00BF0018"/>
    <w:rsid w:val="00C36F19"/>
    <w:rsid w:val="00CC3897"/>
    <w:rsid w:val="00CE04EE"/>
    <w:rsid w:val="00D2260B"/>
    <w:rsid w:val="00DD3E32"/>
    <w:rsid w:val="00E12037"/>
    <w:rsid w:val="00E55A29"/>
    <w:rsid w:val="00EA43D0"/>
    <w:rsid w:val="00EC6E51"/>
    <w:rsid w:val="00F06892"/>
    <w:rsid w:val="00F251F2"/>
    <w:rsid w:val="00F41D94"/>
    <w:rsid w:val="00F44B81"/>
    <w:rsid w:val="00FA1B82"/>
    <w:rsid w:val="00FA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63203"/>
  <w15:chartTrackingRefBased/>
  <w15:docId w15:val="{B02EAAE5-3F28-46ED-9960-E3EB7BC0E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63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6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63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63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63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63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63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63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63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63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63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63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63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63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63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63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63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63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63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6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63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63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63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63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63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63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63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63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63F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86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20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0AD"/>
  </w:style>
  <w:style w:type="paragraph" w:styleId="Footer">
    <w:name w:val="footer"/>
    <w:basedOn w:val="Normal"/>
    <w:link w:val="FooterChar"/>
    <w:uiPriority w:val="99"/>
    <w:unhideWhenUsed/>
    <w:rsid w:val="008420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0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 Jones</dc:creator>
  <cp:keywords/>
  <dc:description/>
  <cp:lastModifiedBy>Elisabeth  Jones</cp:lastModifiedBy>
  <cp:revision>11</cp:revision>
  <cp:lastPrinted>2026-03-03T12:28:00Z</cp:lastPrinted>
  <dcterms:created xsi:type="dcterms:W3CDTF">2026-03-03T15:07:00Z</dcterms:created>
  <dcterms:modified xsi:type="dcterms:W3CDTF">2026-03-04T15:41:00Z</dcterms:modified>
</cp:coreProperties>
</file>