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94B2C" w14:textId="77777777" w:rsidR="0044370C" w:rsidRPr="009F5AE3" w:rsidRDefault="00FC0869" w:rsidP="009F5AE3">
      <w:pPr>
        <w:spacing w:after="40"/>
        <w:rPr>
          <w:color w:val="7030A0"/>
        </w:rPr>
      </w:pPr>
      <w:r w:rsidRPr="009F5AE3">
        <w:rPr>
          <w:b/>
          <w:bCs/>
          <w:color w:val="7030A0"/>
          <w:sz w:val="52"/>
          <w:szCs w:val="52"/>
        </w:rPr>
        <w:t>Occupational Health Technician</w:t>
      </w:r>
    </w:p>
    <w:p w14:paraId="6C55ADE6" w14:textId="61F2562B" w:rsidR="0044370C" w:rsidRPr="009F5AE3" w:rsidRDefault="00FC0869">
      <w:pPr>
        <w:spacing w:after="40"/>
        <w:rPr>
          <w:color w:val="7030A0"/>
        </w:rPr>
      </w:pPr>
      <w:r w:rsidRPr="009F5AE3">
        <w:rPr>
          <w:b/>
          <w:bCs/>
          <w:color w:val="7030A0"/>
          <w:sz w:val="52"/>
          <w:szCs w:val="52"/>
        </w:rPr>
        <w:t xml:space="preserve">Manager / </w:t>
      </w:r>
      <w:r w:rsidRPr="009F5AE3">
        <w:rPr>
          <w:b/>
          <w:bCs/>
          <w:color w:val="7030A0"/>
          <w:sz w:val="52"/>
          <w:szCs w:val="52"/>
        </w:rPr>
        <w:t>Leader</w:t>
      </w:r>
    </w:p>
    <w:p w14:paraId="2DFD455F" w14:textId="77777777" w:rsidR="0044370C" w:rsidRDefault="00FC0869">
      <w:pPr>
        <w:pBdr>
          <w:bottom w:val="single" w:sz="14" w:space="0" w:color="007B8A"/>
        </w:pBdr>
        <w:spacing w:after="260"/>
      </w:pPr>
      <w:r>
        <w:t xml:space="preserve"> </w:t>
      </w:r>
    </w:p>
    <w:p w14:paraId="685B07E1" w14:textId="77777777" w:rsidR="0044370C" w:rsidRDefault="0044370C">
      <w:pPr>
        <w:spacing w:before="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6460"/>
      </w:tblGrid>
      <w:tr w:rsidR="0044370C" w14:paraId="54ADBB32" w14:textId="77777777" w:rsidTr="009F5AE3">
        <w:tblPrEx>
          <w:tblCellMar>
            <w:top w:w="0" w:type="dxa"/>
            <w:bottom w:w="0" w:type="dxa"/>
          </w:tblCellMar>
        </w:tblPrEx>
        <w:tc>
          <w:tcPr>
            <w:tcW w:w="2900" w:type="dxa"/>
            <w:tcBorders>
              <w:top w:val="single" w:sz="4" w:space="0" w:color="C0D8DC"/>
              <w:left w:val="single" w:sz="4" w:space="0" w:color="C0D8DC"/>
              <w:bottom w:val="single" w:sz="4" w:space="0" w:color="C0D8DC"/>
              <w:right w:val="single" w:sz="4" w:space="0" w:color="C0D8DC"/>
            </w:tcBorders>
            <w:shd w:val="clear" w:color="auto" w:fill="7030A0"/>
            <w:tcMar>
              <w:top w:w="90" w:type="dxa"/>
              <w:left w:w="130" w:type="dxa"/>
              <w:bottom w:w="90" w:type="dxa"/>
              <w:right w:w="130" w:type="dxa"/>
            </w:tcMar>
          </w:tcPr>
          <w:p w14:paraId="074A2FB0" w14:textId="77777777" w:rsidR="0044370C" w:rsidRPr="009F5AE3" w:rsidRDefault="00FC0869">
            <w:pPr>
              <w:rPr>
                <w:color w:val="FFFFFF" w:themeColor="background1"/>
              </w:rPr>
            </w:pPr>
            <w:r w:rsidRPr="009F5AE3">
              <w:rPr>
                <w:b/>
                <w:bCs/>
                <w:color w:val="FFFFFF" w:themeColor="background1"/>
              </w:rPr>
              <w:t>Job Title</w:t>
            </w:r>
          </w:p>
        </w:tc>
        <w:tc>
          <w:tcPr>
            <w:tcW w:w="646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44142A76" w14:textId="58EDE3ED" w:rsidR="0044370C" w:rsidRDefault="00FC0869">
            <w:r>
              <w:t xml:space="preserve">Occupational Health Technician Manager / </w:t>
            </w:r>
            <w:r>
              <w:t>Leader</w:t>
            </w:r>
          </w:p>
        </w:tc>
      </w:tr>
      <w:tr w:rsidR="0044370C" w14:paraId="2869BF2A" w14:textId="77777777" w:rsidTr="009F5AE3">
        <w:tblPrEx>
          <w:tblCellMar>
            <w:top w:w="0" w:type="dxa"/>
            <w:bottom w:w="0" w:type="dxa"/>
          </w:tblCellMar>
        </w:tblPrEx>
        <w:tc>
          <w:tcPr>
            <w:tcW w:w="2900" w:type="dxa"/>
            <w:tcBorders>
              <w:top w:val="single" w:sz="4" w:space="0" w:color="C0D8DC"/>
              <w:left w:val="single" w:sz="4" w:space="0" w:color="C0D8DC"/>
              <w:bottom w:val="single" w:sz="4" w:space="0" w:color="C0D8DC"/>
              <w:right w:val="single" w:sz="4" w:space="0" w:color="C0D8DC"/>
            </w:tcBorders>
            <w:shd w:val="clear" w:color="auto" w:fill="7030A0"/>
            <w:tcMar>
              <w:top w:w="90" w:type="dxa"/>
              <w:left w:w="130" w:type="dxa"/>
              <w:bottom w:w="90" w:type="dxa"/>
              <w:right w:w="130" w:type="dxa"/>
            </w:tcMar>
          </w:tcPr>
          <w:p w14:paraId="27F34E33" w14:textId="77777777" w:rsidR="0044370C" w:rsidRPr="009F5AE3" w:rsidRDefault="00FC0869">
            <w:pPr>
              <w:rPr>
                <w:color w:val="FFFFFF" w:themeColor="background1"/>
              </w:rPr>
            </w:pPr>
            <w:r w:rsidRPr="009F5AE3">
              <w:rPr>
                <w:b/>
                <w:bCs/>
                <w:color w:val="FFFFFF" w:themeColor="background1"/>
              </w:rPr>
              <w:t>Reports To</w:t>
            </w:r>
          </w:p>
        </w:tc>
        <w:tc>
          <w:tcPr>
            <w:tcW w:w="646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3C0BB69F" w14:textId="02BE4872" w:rsidR="0044370C" w:rsidRDefault="00FC0869">
            <w:r>
              <w:t xml:space="preserve">Head of Nursing </w:t>
            </w:r>
          </w:p>
        </w:tc>
      </w:tr>
      <w:tr w:rsidR="0044370C" w14:paraId="2BC08406" w14:textId="77777777" w:rsidTr="009F5AE3">
        <w:tblPrEx>
          <w:tblCellMar>
            <w:top w:w="0" w:type="dxa"/>
            <w:bottom w:w="0" w:type="dxa"/>
          </w:tblCellMar>
        </w:tblPrEx>
        <w:tc>
          <w:tcPr>
            <w:tcW w:w="2900" w:type="dxa"/>
            <w:tcBorders>
              <w:top w:val="single" w:sz="4" w:space="0" w:color="C0D8DC"/>
              <w:left w:val="single" w:sz="4" w:space="0" w:color="C0D8DC"/>
              <w:bottom w:val="single" w:sz="4" w:space="0" w:color="C0D8DC"/>
              <w:right w:val="single" w:sz="4" w:space="0" w:color="C0D8DC"/>
            </w:tcBorders>
            <w:shd w:val="clear" w:color="auto" w:fill="7030A0"/>
            <w:tcMar>
              <w:top w:w="90" w:type="dxa"/>
              <w:left w:w="130" w:type="dxa"/>
              <w:bottom w:w="90" w:type="dxa"/>
              <w:right w:w="130" w:type="dxa"/>
            </w:tcMar>
          </w:tcPr>
          <w:p w14:paraId="7BD77A15" w14:textId="77777777" w:rsidR="0044370C" w:rsidRPr="009F5AE3" w:rsidRDefault="00FC0869">
            <w:pPr>
              <w:rPr>
                <w:color w:val="FFFFFF" w:themeColor="background1"/>
              </w:rPr>
            </w:pPr>
            <w:r w:rsidRPr="009F5AE3">
              <w:rPr>
                <w:b/>
                <w:bCs/>
                <w:color w:val="FFFFFF" w:themeColor="background1"/>
              </w:rPr>
              <w:t>Department</w:t>
            </w:r>
          </w:p>
        </w:tc>
        <w:tc>
          <w:tcPr>
            <w:tcW w:w="646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147370F1" w14:textId="2586D16F" w:rsidR="0044370C" w:rsidRDefault="009F5AE3">
            <w:r>
              <w:t xml:space="preserve">Clinical Commercial Division </w:t>
            </w:r>
          </w:p>
        </w:tc>
      </w:tr>
      <w:tr w:rsidR="0044370C" w14:paraId="466EC0D9" w14:textId="77777777" w:rsidTr="009F5AE3">
        <w:tblPrEx>
          <w:tblCellMar>
            <w:top w:w="0" w:type="dxa"/>
            <w:bottom w:w="0" w:type="dxa"/>
          </w:tblCellMar>
        </w:tblPrEx>
        <w:tc>
          <w:tcPr>
            <w:tcW w:w="2900" w:type="dxa"/>
            <w:tcBorders>
              <w:top w:val="single" w:sz="4" w:space="0" w:color="C0D8DC"/>
              <w:left w:val="single" w:sz="4" w:space="0" w:color="C0D8DC"/>
              <w:bottom w:val="single" w:sz="4" w:space="0" w:color="C0D8DC"/>
              <w:right w:val="single" w:sz="4" w:space="0" w:color="C0D8DC"/>
            </w:tcBorders>
            <w:shd w:val="clear" w:color="auto" w:fill="7030A0"/>
            <w:tcMar>
              <w:top w:w="90" w:type="dxa"/>
              <w:left w:w="130" w:type="dxa"/>
              <w:bottom w:w="90" w:type="dxa"/>
              <w:right w:w="130" w:type="dxa"/>
            </w:tcMar>
          </w:tcPr>
          <w:p w14:paraId="1395B60B" w14:textId="77777777" w:rsidR="0044370C" w:rsidRPr="009F5AE3" w:rsidRDefault="00FC0869">
            <w:pPr>
              <w:rPr>
                <w:color w:val="FFFFFF" w:themeColor="background1"/>
              </w:rPr>
            </w:pPr>
            <w:r w:rsidRPr="009F5AE3">
              <w:rPr>
                <w:b/>
                <w:bCs/>
                <w:color w:val="FFFFFF" w:themeColor="background1"/>
              </w:rPr>
              <w:t>Direct Reports</w:t>
            </w:r>
          </w:p>
        </w:tc>
        <w:tc>
          <w:tcPr>
            <w:tcW w:w="646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717591FE" w14:textId="77777777" w:rsidR="0044370C" w:rsidRDefault="00FC0869">
            <w:r>
              <w:t>Occupational Health Technicians (OHTs)</w:t>
            </w:r>
          </w:p>
        </w:tc>
      </w:tr>
      <w:tr w:rsidR="0044370C" w14:paraId="3256581C" w14:textId="77777777" w:rsidTr="009F5AE3">
        <w:tblPrEx>
          <w:tblCellMar>
            <w:top w:w="0" w:type="dxa"/>
            <w:bottom w:w="0" w:type="dxa"/>
          </w:tblCellMar>
        </w:tblPrEx>
        <w:tc>
          <w:tcPr>
            <w:tcW w:w="2900" w:type="dxa"/>
            <w:tcBorders>
              <w:top w:val="single" w:sz="4" w:space="0" w:color="C0D8DC"/>
              <w:left w:val="single" w:sz="4" w:space="0" w:color="C0D8DC"/>
              <w:bottom w:val="single" w:sz="4" w:space="0" w:color="C0D8DC"/>
              <w:right w:val="single" w:sz="4" w:space="0" w:color="C0D8DC"/>
            </w:tcBorders>
            <w:shd w:val="clear" w:color="auto" w:fill="7030A0"/>
            <w:tcMar>
              <w:top w:w="90" w:type="dxa"/>
              <w:left w:w="130" w:type="dxa"/>
              <w:bottom w:w="90" w:type="dxa"/>
              <w:right w:w="130" w:type="dxa"/>
            </w:tcMar>
          </w:tcPr>
          <w:p w14:paraId="21E91D2D" w14:textId="77777777" w:rsidR="0044370C" w:rsidRPr="009F5AE3" w:rsidRDefault="00FC0869">
            <w:pPr>
              <w:rPr>
                <w:color w:val="FFFFFF" w:themeColor="background1"/>
              </w:rPr>
            </w:pPr>
            <w:r w:rsidRPr="009F5AE3">
              <w:rPr>
                <w:b/>
                <w:bCs/>
                <w:color w:val="FFFFFF" w:themeColor="background1"/>
              </w:rPr>
              <w:t>Contract Type</w:t>
            </w:r>
          </w:p>
        </w:tc>
        <w:tc>
          <w:tcPr>
            <w:tcW w:w="646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071100BF" w14:textId="0A45B244" w:rsidR="0044370C" w:rsidRDefault="00FC0869">
            <w:r>
              <w:t xml:space="preserve">Permanent </w:t>
            </w:r>
          </w:p>
        </w:tc>
      </w:tr>
      <w:tr w:rsidR="0044370C" w14:paraId="519E701C" w14:textId="77777777" w:rsidTr="009F5AE3">
        <w:tblPrEx>
          <w:tblCellMar>
            <w:top w:w="0" w:type="dxa"/>
            <w:bottom w:w="0" w:type="dxa"/>
          </w:tblCellMar>
        </w:tblPrEx>
        <w:tc>
          <w:tcPr>
            <w:tcW w:w="2900" w:type="dxa"/>
            <w:tcBorders>
              <w:top w:val="single" w:sz="4" w:space="0" w:color="C0D8DC"/>
              <w:left w:val="single" w:sz="4" w:space="0" w:color="C0D8DC"/>
              <w:bottom w:val="single" w:sz="4" w:space="0" w:color="C0D8DC"/>
              <w:right w:val="single" w:sz="4" w:space="0" w:color="C0D8DC"/>
            </w:tcBorders>
            <w:shd w:val="clear" w:color="auto" w:fill="7030A0"/>
            <w:tcMar>
              <w:top w:w="90" w:type="dxa"/>
              <w:left w:w="130" w:type="dxa"/>
              <w:bottom w:w="90" w:type="dxa"/>
              <w:right w:w="130" w:type="dxa"/>
            </w:tcMar>
          </w:tcPr>
          <w:p w14:paraId="357EF0E8" w14:textId="77777777" w:rsidR="0044370C" w:rsidRPr="009F5AE3" w:rsidRDefault="00FC0869">
            <w:pPr>
              <w:rPr>
                <w:color w:val="FFFFFF" w:themeColor="background1"/>
              </w:rPr>
            </w:pPr>
            <w:r w:rsidRPr="009F5AE3">
              <w:rPr>
                <w:b/>
                <w:bCs/>
                <w:color w:val="FFFFFF" w:themeColor="background1"/>
              </w:rPr>
              <w:t>Location</w:t>
            </w:r>
          </w:p>
        </w:tc>
        <w:tc>
          <w:tcPr>
            <w:tcW w:w="646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61ECB9BD" w14:textId="2B50ED08" w:rsidR="0044370C" w:rsidRDefault="009F5AE3">
            <w:r>
              <w:t xml:space="preserve">Northwest of England: </w:t>
            </w:r>
            <w:r w:rsidR="00FC0869">
              <w:t>hybrid</w:t>
            </w:r>
          </w:p>
        </w:tc>
      </w:tr>
      <w:tr w:rsidR="0044370C" w14:paraId="0A123AA5" w14:textId="77777777" w:rsidTr="009F5AE3">
        <w:tblPrEx>
          <w:tblCellMar>
            <w:top w:w="0" w:type="dxa"/>
            <w:bottom w:w="0" w:type="dxa"/>
          </w:tblCellMar>
        </w:tblPrEx>
        <w:tc>
          <w:tcPr>
            <w:tcW w:w="2900" w:type="dxa"/>
            <w:tcBorders>
              <w:top w:val="single" w:sz="4" w:space="0" w:color="C0D8DC"/>
              <w:left w:val="single" w:sz="4" w:space="0" w:color="C0D8DC"/>
              <w:bottom w:val="single" w:sz="4" w:space="0" w:color="C0D8DC"/>
              <w:right w:val="single" w:sz="4" w:space="0" w:color="C0D8DC"/>
            </w:tcBorders>
            <w:shd w:val="clear" w:color="auto" w:fill="7030A0"/>
            <w:tcMar>
              <w:top w:w="90" w:type="dxa"/>
              <w:left w:w="130" w:type="dxa"/>
              <w:bottom w:w="90" w:type="dxa"/>
              <w:right w:w="130" w:type="dxa"/>
            </w:tcMar>
          </w:tcPr>
          <w:p w14:paraId="463FC3F4" w14:textId="77777777" w:rsidR="0044370C" w:rsidRPr="009F5AE3" w:rsidRDefault="00FC0869">
            <w:pPr>
              <w:rPr>
                <w:color w:val="FFFFFF" w:themeColor="background1"/>
              </w:rPr>
            </w:pPr>
            <w:r w:rsidRPr="009F5AE3">
              <w:rPr>
                <w:b/>
                <w:bCs/>
                <w:color w:val="FFFFFF" w:themeColor="background1"/>
              </w:rPr>
              <w:t>Hours</w:t>
            </w:r>
          </w:p>
        </w:tc>
        <w:tc>
          <w:tcPr>
            <w:tcW w:w="646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174D430E" w14:textId="3E948401" w:rsidR="0044370C" w:rsidRDefault="009F5AE3">
            <w:r>
              <w:t>37.5</w:t>
            </w:r>
            <w:r w:rsidR="00FC0869">
              <w:t xml:space="preserve"> contracted hours per week</w:t>
            </w:r>
          </w:p>
        </w:tc>
      </w:tr>
    </w:tbl>
    <w:p w14:paraId="277B2F43" w14:textId="77777777" w:rsidR="0044370C" w:rsidRPr="009F5AE3" w:rsidRDefault="00FC0869">
      <w:pPr>
        <w:pBdr>
          <w:bottom w:val="single" w:sz="8" w:space="6" w:color="007B8A"/>
        </w:pBdr>
        <w:spacing w:before="360" w:after="160"/>
        <w:rPr>
          <w:color w:val="7030A0"/>
        </w:rPr>
      </w:pPr>
      <w:r w:rsidRPr="009F5AE3">
        <w:rPr>
          <w:b/>
          <w:bCs/>
          <w:color w:val="7030A0"/>
          <w:sz w:val="24"/>
          <w:szCs w:val="24"/>
        </w:rPr>
        <w:t>ROLE PURPOSE</w:t>
      </w:r>
    </w:p>
    <w:p w14:paraId="3BD0EBF1" w14:textId="5B89519E" w:rsidR="0044370C" w:rsidRDefault="00FC0869" w:rsidP="00674A48">
      <w:pPr>
        <w:spacing w:before="80" w:after="80"/>
        <w:jc w:val="both"/>
      </w:pPr>
      <w:r>
        <w:t xml:space="preserve">The Occupational Health Technician Manager / </w:t>
      </w:r>
      <w:r>
        <w:t>Leader is responsible for the operational leadership, day-to-day management, and clinical quality oversight of a team of Occupational Health Technicians (OHTs). The post-holder ensures all technicians deliver safe, competent, and client-focused occupational health surveillance services in line with organisational policies, contractual requirements, and applicable regulatory standards.</w:t>
      </w:r>
    </w:p>
    <w:p w14:paraId="58F844C8" w14:textId="77777777" w:rsidR="0044370C" w:rsidRDefault="0044370C" w:rsidP="00674A48">
      <w:pPr>
        <w:spacing w:before="60"/>
        <w:jc w:val="both"/>
      </w:pPr>
    </w:p>
    <w:p w14:paraId="47738A64" w14:textId="77777777" w:rsidR="0044370C" w:rsidRDefault="00FC0869" w:rsidP="00674A48">
      <w:pPr>
        <w:spacing w:before="80" w:after="80"/>
        <w:jc w:val="both"/>
      </w:pPr>
      <w:r>
        <w:t>The role carries direct accountability for workforce performance, competency and training assurance, clinical governance and audit, equipment and stock management, financial claims integrity, complaint handling, policy development support, staff wellbeing, and service utilisation. The post-holder also maintains a regular clinical caseload, acting as a practising OHT alongside their management responsibilities.</w:t>
      </w:r>
    </w:p>
    <w:p w14:paraId="73E36BE6" w14:textId="77777777" w:rsidR="0044370C" w:rsidRPr="009F5AE3" w:rsidRDefault="00FC0869">
      <w:pPr>
        <w:pBdr>
          <w:bottom w:val="single" w:sz="8" w:space="6" w:color="007B8A"/>
        </w:pBdr>
        <w:spacing w:before="360" w:after="160"/>
        <w:rPr>
          <w:color w:val="7030A0"/>
        </w:rPr>
      </w:pPr>
      <w:r w:rsidRPr="009F5AE3">
        <w:rPr>
          <w:b/>
          <w:bCs/>
          <w:color w:val="7030A0"/>
          <w:sz w:val="24"/>
          <w:szCs w:val="24"/>
        </w:rPr>
        <w:t>KEY RESPONSIBILITIES</w:t>
      </w:r>
    </w:p>
    <w:p w14:paraId="76AF5E9F" w14:textId="77777777" w:rsidR="0044370C" w:rsidRDefault="00FC0869">
      <w:pPr>
        <w:spacing w:before="220" w:after="100"/>
      </w:pPr>
      <w:r>
        <w:rPr>
          <w:b/>
          <w:bCs/>
          <w:sz w:val="22"/>
          <w:szCs w:val="22"/>
        </w:rPr>
        <w:t>1.  Clinical Governance, Audit &amp; Quality Assurance</w:t>
      </w:r>
    </w:p>
    <w:p w14:paraId="40CDF492" w14:textId="400BBEE3" w:rsidR="0044370C" w:rsidRDefault="00FC0869" w:rsidP="009F5AE3">
      <w:pPr>
        <w:pStyle w:val="ListParagraph"/>
        <w:numPr>
          <w:ilvl w:val="0"/>
          <w:numId w:val="2"/>
        </w:numPr>
        <w:spacing w:before="60" w:after="60"/>
        <w:jc w:val="both"/>
      </w:pPr>
      <w:r>
        <w:t>Abide by the organisational competency checklist, signing off each OHT to confirm their capability to practise independently</w:t>
      </w:r>
      <w:r w:rsidR="009F5AE3">
        <w:t xml:space="preserve">, </w:t>
      </w:r>
      <w:r>
        <w:t>before any solo clinical activity commences.</w:t>
      </w:r>
    </w:p>
    <w:p w14:paraId="382C53CA" w14:textId="0B111275" w:rsidR="0044370C" w:rsidRDefault="00FC0869" w:rsidP="009F5AE3">
      <w:pPr>
        <w:pStyle w:val="ListParagraph"/>
        <w:numPr>
          <w:ilvl w:val="0"/>
          <w:numId w:val="2"/>
        </w:numPr>
        <w:spacing w:before="60" w:after="60"/>
        <w:jc w:val="both"/>
      </w:pPr>
      <w:r>
        <w:t xml:space="preserve">Ensure all competencies are verified before an OHT's </w:t>
      </w:r>
      <w:r w:rsidR="009F5AE3">
        <w:t>works independently. Whe</w:t>
      </w:r>
      <w:r>
        <w:t xml:space="preserve">re this is not achieved, escalate promptly to the Head of Nursing </w:t>
      </w:r>
      <w:r w:rsidR="009F5AE3">
        <w:t>and Operations Lead</w:t>
      </w:r>
      <w:r>
        <w:t>.</w:t>
      </w:r>
    </w:p>
    <w:p w14:paraId="20E0F0B8" w14:textId="06F0CB7F" w:rsidR="0044370C" w:rsidRDefault="00FC0869" w:rsidP="009F5AE3">
      <w:pPr>
        <w:pStyle w:val="ListParagraph"/>
        <w:numPr>
          <w:ilvl w:val="0"/>
          <w:numId w:val="2"/>
        </w:numPr>
        <w:spacing w:before="60" w:after="60"/>
        <w:jc w:val="both"/>
      </w:pPr>
      <w:r>
        <w:t xml:space="preserve">Conduct monthly clinical audits for all OHTs: randomly select </w:t>
      </w:r>
      <w:r w:rsidR="009F5AE3">
        <w:t>ten</w:t>
      </w:r>
      <w:r>
        <w:t xml:space="preserve"> cases per individual from their monthly clinical diary and record outcomes using the designated audit tool.</w:t>
      </w:r>
    </w:p>
    <w:p w14:paraId="707F7FFC" w14:textId="77777777" w:rsidR="0044370C" w:rsidRDefault="00FC0869" w:rsidP="009F5AE3">
      <w:pPr>
        <w:pStyle w:val="ListParagraph"/>
        <w:numPr>
          <w:ilvl w:val="0"/>
          <w:numId w:val="2"/>
        </w:numPr>
        <w:spacing w:before="60" w:after="60"/>
        <w:jc w:val="both"/>
      </w:pPr>
      <w:r>
        <w:t>Attend monthly clinical quality review meetings; review progress and recurring themes, and integrate findings directly into one-to-one sessions, with SMART improvement plans raised for more significant concerns.</w:t>
      </w:r>
    </w:p>
    <w:p w14:paraId="665DC8C7" w14:textId="77777777" w:rsidR="0044370C" w:rsidRDefault="00FC0869" w:rsidP="009F5AE3">
      <w:pPr>
        <w:pStyle w:val="ListParagraph"/>
        <w:numPr>
          <w:ilvl w:val="0"/>
          <w:numId w:val="2"/>
        </w:numPr>
        <w:spacing w:before="60" w:after="60"/>
        <w:jc w:val="both"/>
      </w:pPr>
      <w:r>
        <w:t>Identify individual learning and practice gaps and produce structured development plans specifying what support is required, who will deliver it, and the target completion date (applying SMART principles).</w:t>
      </w:r>
    </w:p>
    <w:p w14:paraId="36EC593A" w14:textId="5EBB8926" w:rsidR="0044370C" w:rsidRDefault="00FC0869" w:rsidP="009F5AE3">
      <w:pPr>
        <w:pStyle w:val="ListParagraph"/>
        <w:numPr>
          <w:ilvl w:val="0"/>
          <w:numId w:val="2"/>
        </w:numPr>
        <w:spacing w:before="60" w:after="60"/>
        <w:jc w:val="both"/>
      </w:pPr>
      <w:r>
        <w:t xml:space="preserve">Review all concerns raised by the survey nurse team, address recurring issues, and incorporate actionable points into the following month's </w:t>
      </w:r>
      <w:r>
        <w:t>action plan.</w:t>
      </w:r>
    </w:p>
    <w:p w14:paraId="2991D623" w14:textId="77777777" w:rsidR="0044370C" w:rsidRDefault="00FC0869">
      <w:pPr>
        <w:spacing w:before="220" w:after="100"/>
      </w:pPr>
      <w:r>
        <w:rPr>
          <w:b/>
          <w:bCs/>
          <w:sz w:val="22"/>
          <w:szCs w:val="22"/>
        </w:rPr>
        <w:lastRenderedPageBreak/>
        <w:t>2.  Competency, Training &amp; E-Learning</w:t>
      </w:r>
    </w:p>
    <w:p w14:paraId="5AD0BE0D" w14:textId="77777777" w:rsidR="0044370C" w:rsidRDefault="00FC0869" w:rsidP="00470E54">
      <w:pPr>
        <w:pStyle w:val="ListParagraph"/>
        <w:numPr>
          <w:ilvl w:val="0"/>
          <w:numId w:val="2"/>
        </w:numPr>
        <w:spacing w:before="60" w:after="60"/>
        <w:jc w:val="both"/>
      </w:pPr>
      <w:r>
        <w:t>Ensure all OHTs hold current, valid competency sign-off before undertaking independent clinical activity, maintaining the skills matrix tracker and New Starter CS log with up-to-date confirmed competencies.</w:t>
      </w:r>
    </w:p>
    <w:p w14:paraId="1517E18D" w14:textId="2DC19BD3" w:rsidR="0044370C" w:rsidRDefault="00FC0869" w:rsidP="00470E54">
      <w:pPr>
        <w:pStyle w:val="ListParagraph"/>
        <w:numPr>
          <w:ilvl w:val="0"/>
          <w:numId w:val="2"/>
        </w:numPr>
        <w:spacing w:before="60" w:after="60"/>
        <w:jc w:val="both"/>
      </w:pPr>
      <w:r>
        <w:t xml:space="preserve">Monitor and drive timely completion of all mandatory and role-specific e-learning for each OHT </w:t>
      </w:r>
      <w:proofErr w:type="gramStart"/>
      <w:r>
        <w:t>on a monthly basis</w:t>
      </w:r>
      <w:proofErr w:type="gramEnd"/>
      <w:r>
        <w:t xml:space="preserve"> (target: within ±1 month of due date)</w:t>
      </w:r>
      <w:r w:rsidR="009F5AE3">
        <w:t xml:space="preserve">. </w:t>
      </w:r>
    </w:p>
    <w:p w14:paraId="5034961E" w14:textId="77777777" w:rsidR="0044370C" w:rsidRDefault="00FC0869" w:rsidP="00470E54">
      <w:pPr>
        <w:pStyle w:val="ListParagraph"/>
        <w:numPr>
          <w:ilvl w:val="0"/>
          <w:numId w:val="2"/>
        </w:numPr>
        <w:spacing w:before="60" w:after="60"/>
        <w:jc w:val="both"/>
      </w:pPr>
      <w:r>
        <w:t>Maintain and update the training log on OH Screening; communicate audit scores and required actions to individuals weekly or monthly via email and within one-to-one meetings.</w:t>
      </w:r>
    </w:p>
    <w:p w14:paraId="0C6FEA13" w14:textId="77777777" w:rsidR="0044370C" w:rsidRDefault="00FC0869" w:rsidP="00470E54">
      <w:pPr>
        <w:pStyle w:val="ListParagraph"/>
        <w:numPr>
          <w:ilvl w:val="0"/>
          <w:numId w:val="2"/>
        </w:numPr>
        <w:spacing w:before="60" w:after="60"/>
        <w:jc w:val="both"/>
      </w:pPr>
      <w:r>
        <w:t>Ensure all checklists, equipment maintenance records, and training and competency documentation are completed, uploaded to the relevant systems, and kept current — supporting the Head of Nursing in ensuring records are always audit-ready.</w:t>
      </w:r>
    </w:p>
    <w:p w14:paraId="3627680F" w14:textId="77777777" w:rsidR="0044370C" w:rsidRDefault="00FC0869" w:rsidP="00470E54">
      <w:pPr>
        <w:spacing w:before="220" w:after="100"/>
        <w:jc w:val="both"/>
      </w:pPr>
      <w:r>
        <w:rPr>
          <w:b/>
          <w:bCs/>
          <w:sz w:val="22"/>
          <w:szCs w:val="22"/>
        </w:rPr>
        <w:t>3.  Day-to-Day Operational Management</w:t>
      </w:r>
    </w:p>
    <w:p w14:paraId="20CFE99C" w14:textId="0B98B432" w:rsidR="0044370C" w:rsidRDefault="00FC0869" w:rsidP="00470E54">
      <w:pPr>
        <w:pStyle w:val="ListParagraph"/>
        <w:numPr>
          <w:ilvl w:val="0"/>
          <w:numId w:val="2"/>
        </w:numPr>
        <w:spacing w:before="60" w:after="60"/>
        <w:jc w:val="both"/>
      </w:pPr>
      <w:r>
        <w:t xml:space="preserve">Conduct a daily five-minute readiness call with </w:t>
      </w:r>
      <w:r>
        <w:t>OHTs each morning to confirm equipment is functioning, stock is present, and the day's workload is clear — minimising quality risk to clients.</w:t>
      </w:r>
    </w:p>
    <w:p w14:paraId="6341B733" w14:textId="5860C51B" w:rsidR="0044370C" w:rsidRDefault="00FC0869" w:rsidP="00470E54">
      <w:pPr>
        <w:pStyle w:val="ListParagraph"/>
        <w:numPr>
          <w:ilvl w:val="0"/>
          <w:numId w:val="2"/>
        </w:numPr>
        <w:spacing w:before="60" w:after="60"/>
        <w:jc w:val="both"/>
      </w:pPr>
      <w:r>
        <w:t xml:space="preserve">Monitor clinic attendance daily; ensure technicians remain on-site for the full clinical day and manage early departures through the agreed escalation pathway: informal email → formal discussion → referral for disciplinary action with the </w:t>
      </w:r>
      <w:r w:rsidR="00470E54">
        <w:t>Head of Nursing</w:t>
      </w:r>
      <w:r w:rsidR="00470E54">
        <w:t xml:space="preserve"> </w:t>
      </w:r>
      <w:r>
        <w:t>if the behaviour is repeated.</w:t>
      </w:r>
    </w:p>
    <w:p w14:paraId="6B1DFBD6" w14:textId="46BDE800" w:rsidR="0044370C" w:rsidRDefault="00FC0869" w:rsidP="00470E54">
      <w:pPr>
        <w:pStyle w:val="ListParagraph"/>
        <w:numPr>
          <w:ilvl w:val="0"/>
          <w:numId w:val="2"/>
        </w:numPr>
        <w:spacing w:before="60" w:after="60"/>
        <w:jc w:val="both"/>
      </w:pPr>
      <w:r>
        <w:t xml:space="preserve">Record all lateness on the designated tracker (including reason and duration) and notify </w:t>
      </w:r>
      <w:r w:rsidR="00470E54">
        <w:t>Head of Nursing</w:t>
      </w:r>
      <w:r w:rsidR="00470E54">
        <w:t xml:space="preserve"> </w:t>
      </w:r>
      <w:r>
        <w:t>of any potential client impact.</w:t>
      </w:r>
    </w:p>
    <w:p w14:paraId="7853388D" w14:textId="7E7A18B2" w:rsidR="0044370C" w:rsidRDefault="00FC0869" w:rsidP="00470E54">
      <w:pPr>
        <w:pStyle w:val="ListParagraph"/>
        <w:numPr>
          <w:ilvl w:val="0"/>
          <w:numId w:val="2"/>
        </w:numPr>
        <w:spacing w:before="60" w:after="60"/>
        <w:jc w:val="both"/>
      </w:pPr>
      <w:r>
        <w:t xml:space="preserve">Ensure all team members are contactable during working hours and </w:t>
      </w:r>
      <w:proofErr w:type="gramStart"/>
      <w:r>
        <w:t>display as available (green) on Microsoft Teams at all times</w:t>
      </w:r>
      <w:proofErr w:type="gramEnd"/>
      <w:r>
        <w:t>.</w:t>
      </w:r>
      <w:r w:rsidR="00470E54">
        <w:t xml:space="preserve"> </w:t>
      </w:r>
    </w:p>
    <w:p w14:paraId="2BAD6426" w14:textId="3BAD4A76" w:rsidR="0044370C" w:rsidRDefault="00FC0869" w:rsidP="00470E54">
      <w:pPr>
        <w:pStyle w:val="ListParagraph"/>
        <w:numPr>
          <w:ilvl w:val="0"/>
          <w:numId w:val="2"/>
        </w:numPr>
        <w:spacing w:before="60" w:after="60"/>
        <w:jc w:val="both"/>
      </w:pPr>
      <w:r>
        <w:t xml:space="preserve">Monitor and maximise daily team utilisation; where under-utilisation is identified, develop and present a resolution and action plan to </w:t>
      </w:r>
      <w:r w:rsidR="00470E54">
        <w:t>Head of Nursing</w:t>
      </w:r>
      <w:r>
        <w:t>.</w:t>
      </w:r>
    </w:p>
    <w:p w14:paraId="35E7C113" w14:textId="77777777" w:rsidR="0044370C" w:rsidRDefault="00FC0869" w:rsidP="00470E54">
      <w:pPr>
        <w:pStyle w:val="ListParagraph"/>
        <w:numPr>
          <w:ilvl w:val="0"/>
          <w:numId w:val="2"/>
        </w:numPr>
        <w:spacing w:before="60" w:after="60"/>
        <w:jc w:val="both"/>
      </w:pPr>
      <w:r>
        <w:t>Implement contingency plans before any clinic cancellation is considered, including attending the site personally to provide clinical cover as a last resort.</w:t>
      </w:r>
    </w:p>
    <w:p w14:paraId="16E6C362" w14:textId="020E7367" w:rsidR="0044370C" w:rsidRDefault="00FC0869" w:rsidP="00470E54">
      <w:pPr>
        <w:pStyle w:val="ListParagraph"/>
        <w:numPr>
          <w:ilvl w:val="0"/>
          <w:numId w:val="2"/>
        </w:numPr>
        <w:spacing w:before="60" w:after="60"/>
        <w:jc w:val="both"/>
      </w:pPr>
      <w:r>
        <w:t>Resolve equipment and stock issues via the Non-Clinical Support Chat, escalating where necessary and maintaining the equipment log and tracker.</w:t>
      </w:r>
      <w:r w:rsidR="00470E54">
        <w:t xml:space="preserve"> </w:t>
      </w:r>
    </w:p>
    <w:p w14:paraId="2DE23309" w14:textId="77777777" w:rsidR="0044370C" w:rsidRDefault="00FC0869" w:rsidP="00470E54">
      <w:pPr>
        <w:pStyle w:val="ListParagraph"/>
        <w:numPr>
          <w:ilvl w:val="0"/>
          <w:numId w:val="2"/>
        </w:numPr>
        <w:spacing w:before="60" w:after="60"/>
        <w:jc w:val="both"/>
      </w:pPr>
      <w:r>
        <w:t xml:space="preserve">Ensure all team members </w:t>
      </w:r>
      <w:proofErr w:type="gramStart"/>
      <w:r>
        <w:t>wear the required uniform at all times</w:t>
      </w:r>
      <w:proofErr w:type="gramEnd"/>
      <w:r>
        <w:t>; place uniform orders within the first two weeks of any new starter's commencement date.</w:t>
      </w:r>
    </w:p>
    <w:p w14:paraId="59CCAF18" w14:textId="77777777" w:rsidR="0044370C" w:rsidRDefault="00FC0869" w:rsidP="00470E54">
      <w:pPr>
        <w:pStyle w:val="ListParagraph"/>
        <w:numPr>
          <w:ilvl w:val="0"/>
          <w:numId w:val="2"/>
        </w:numPr>
        <w:spacing w:before="60" w:after="60"/>
        <w:jc w:val="both"/>
      </w:pPr>
      <w:r>
        <w:t>Provide guidance and support on IT issues, escalating to the IT team as required.</w:t>
      </w:r>
    </w:p>
    <w:p w14:paraId="116E8AEF" w14:textId="77777777" w:rsidR="0044370C" w:rsidRDefault="00FC0869">
      <w:pPr>
        <w:spacing w:before="220" w:after="100"/>
      </w:pPr>
      <w:r>
        <w:rPr>
          <w:b/>
          <w:bCs/>
          <w:sz w:val="22"/>
          <w:szCs w:val="22"/>
        </w:rPr>
        <w:t>4.  Complaints Management &amp; Incident Reporting</w:t>
      </w:r>
    </w:p>
    <w:p w14:paraId="58D4B057" w14:textId="77777777" w:rsidR="0044370C" w:rsidRDefault="00FC0869" w:rsidP="00470E54">
      <w:pPr>
        <w:pStyle w:val="ListParagraph"/>
        <w:numPr>
          <w:ilvl w:val="0"/>
          <w:numId w:val="2"/>
        </w:numPr>
        <w:spacing w:before="60" w:after="60"/>
        <w:jc w:val="both"/>
      </w:pPr>
      <w:r>
        <w:t>Take the lead on managing all complaints relating to OHTs, ensuring each complaint is acknowledged, investigated, and responded to within the organisation's instant reporting process and within agreed timescales.</w:t>
      </w:r>
    </w:p>
    <w:p w14:paraId="727DD850" w14:textId="77777777" w:rsidR="0044370C" w:rsidRDefault="00FC0869" w:rsidP="00470E54">
      <w:pPr>
        <w:pStyle w:val="ListParagraph"/>
        <w:numPr>
          <w:ilvl w:val="0"/>
          <w:numId w:val="2"/>
        </w:numPr>
        <w:spacing w:before="60" w:after="60"/>
        <w:jc w:val="both"/>
      </w:pPr>
      <w:r>
        <w:t>Maintain accurate records of all complaints, near-misses, and significant events involving the OHT team; report outcomes to the Head of Nursing and ensure lessons learned are embedded into practice.</w:t>
      </w:r>
    </w:p>
    <w:p w14:paraId="60E065AE" w14:textId="77777777" w:rsidR="0044370C" w:rsidRDefault="00FC0869" w:rsidP="00470E54">
      <w:pPr>
        <w:pStyle w:val="ListParagraph"/>
        <w:numPr>
          <w:ilvl w:val="0"/>
          <w:numId w:val="2"/>
        </w:numPr>
        <w:spacing w:before="60" w:after="60"/>
        <w:jc w:val="both"/>
      </w:pPr>
      <w:r>
        <w:t>Engage proactively with the survey nurse review process, addressing recurring concerns and ensuring corrective actions are implemented and tracked.</w:t>
      </w:r>
    </w:p>
    <w:p w14:paraId="552CA9E0" w14:textId="77777777" w:rsidR="0044370C" w:rsidRDefault="00FC0869">
      <w:pPr>
        <w:spacing w:before="220" w:after="100"/>
      </w:pPr>
      <w:r>
        <w:rPr>
          <w:b/>
          <w:bCs/>
          <w:sz w:val="22"/>
          <w:szCs w:val="22"/>
        </w:rPr>
        <w:t>5.  Policy, SOP &amp; Procedure Development</w:t>
      </w:r>
    </w:p>
    <w:p w14:paraId="2D7DE5A5" w14:textId="77777777" w:rsidR="0044370C" w:rsidRDefault="00FC0869" w:rsidP="00470E54">
      <w:pPr>
        <w:pStyle w:val="ListParagraph"/>
        <w:numPr>
          <w:ilvl w:val="0"/>
          <w:numId w:val="2"/>
        </w:numPr>
        <w:spacing w:before="60" w:after="60"/>
        <w:jc w:val="both"/>
      </w:pPr>
      <w:r>
        <w:t>Lead on supporting the Head of Nursing in the review, update, and communication of Standard Operating Procedures (SOPs) and clinical / operational policies relevant to OHT practice.</w:t>
      </w:r>
    </w:p>
    <w:p w14:paraId="51DFBAAA" w14:textId="77777777" w:rsidR="0044370C" w:rsidRDefault="00FC0869" w:rsidP="00470E54">
      <w:pPr>
        <w:pStyle w:val="ListParagraph"/>
        <w:numPr>
          <w:ilvl w:val="0"/>
          <w:numId w:val="2"/>
        </w:numPr>
        <w:spacing w:before="60" w:after="60"/>
        <w:jc w:val="both"/>
      </w:pPr>
      <w:r>
        <w:t>Ensure the OHT team is briefed and updated on any SOP or policy changes in a timely manner, with understanding confirmed and records maintained.</w:t>
      </w:r>
    </w:p>
    <w:p w14:paraId="0F08EFCA" w14:textId="77777777" w:rsidR="0044370C" w:rsidRDefault="00FC0869" w:rsidP="00470E54">
      <w:pPr>
        <w:pStyle w:val="ListParagraph"/>
        <w:numPr>
          <w:ilvl w:val="0"/>
          <w:numId w:val="2"/>
        </w:numPr>
        <w:spacing w:before="60" w:after="60"/>
        <w:jc w:val="both"/>
      </w:pPr>
      <w:r>
        <w:t>Contribute to the development of new policies and procedures as the service evolves, drawing on operational experience and frontline team feedback.</w:t>
      </w:r>
    </w:p>
    <w:p w14:paraId="14E20823" w14:textId="77777777" w:rsidR="0044370C" w:rsidRDefault="00FC0869">
      <w:pPr>
        <w:spacing w:before="220" w:after="100"/>
      </w:pPr>
      <w:r>
        <w:rPr>
          <w:b/>
          <w:bCs/>
          <w:sz w:val="22"/>
          <w:szCs w:val="22"/>
        </w:rPr>
        <w:t>6.  Workforce, Performance &amp; Annual Leave Management</w:t>
      </w:r>
    </w:p>
    <w:p w14:paraId="3E5EDB2A" w14:textId="77777777" w:rsidR="0044370C" w:rsidRDefault="00FC0869" w:rsidP="00470E54">
      <w:pPr>
        <w:pStyle w:val="ListParagraph"/>
        <w:numPr>
          <w:ilvl w:val="0"/>
          <w:numId w:val="2"/>
        </w:numPr>
        <w:spacing w:before="60" w:after="60"/>
        <w:jc w:val="both"/>
      </w:pPr>
      <w:r>
        <w:lastRenderedPageBreak/>
        <w:t>Conduct structured monthly one-to-one meetings with each team member using the agreed agenda, incorporating audit outcomes, complaint data, business updates, and progress against objectives.</w:t>
      </w:r>
    </w:p>
    <w:p w14:paraId="580AB9CA" w14:textId="2D9F4EF2" w:rsidR="0044370C" w:rsidRDefault="00FC0869" w:rsidP="00470E54">
      <w:pPr>
        <w:pStyle w:val="ListParagraph"/>
        <w:numPr>
          <w:ilvl w:val="0"/>
          <w:numId w:val="2"/>
        </w:numPr>
        <w:spacing w:before="60" w:after="60"/>
        <w:jc w:val="both"/>
      </w:pPr>
      <w:r>
        <w:t xml:space="preserve">Manage the </w:t>
      </w:r>
      <w:r w:rsidR="00470E54">
        <w:t>appraisals</w:t>
      </w:r>
      <w:r>
        <w:t xml:space="preserve"> end-to-end: set individual goals and objectives at the start of the performance year; review progress quarterly; complete mid-year and end-of-year appraisals within stated deadlines; upload all records before </w:t>
      </w:r>
      <w:r w:rsidR="00470E54">
        <w:t>appraisal</w:t>
      </w:r>
      <w:r>
        <w:t xml:space="preserve"> sign-off.</w:t>
      </w:r>
    </w:p>
    <w:p w14:paraId="2E866AED" w14:textId="2D87073E" w:rsidR="0044370C" w:rsidRDefault="00FC0869" w:rsidP="00470E54">
      <w:pPr>
        <w:pStyle w:val="ListParagraph"/>
        <w:numPr>
          <w:ilvl w:val="0"/>
          <w:numId w:val="2"/>
        </w:numPr>
        <w:spacing w:before="60" w:after="60"/>
        <w:jc w:val="both"/>
      </w:pPr>
      <w:r>
        <w:t xml:space="preserve">Ensure annual leave is actively monitored and encouraged so that all entitlement is taken within the leave year; manage the annual leave calendar to ensure </w:t>
      </w:r>
      <w:r w:rsidR="00470E54">
        <w:t xml:space="preserve">operationally the company continues to run without interruption, </w:t>
      </w:r>
      <w:r>
        <w:t>including training days</w:t>
      </w:r>
      <w:r w:rsidR="00470E54">
        <w:t xml:space="preserve">. </w:t>
      </w:r>
    </w:p>
    <w:p w14:paraId="75C0D931" w14:textId="4D52CCF0" w:rsidR="0044370C" w:rsidRDefault="00FC0869" w:rsidP="00470E54">
      <w:pPr>
        <w:pStyle w:val="ListParagraph"/>
        <w:numPr>
          <w:ilvl w:val="0"/>
          <w:numId w:val="2"/>
        </w:numPr>
        <w:spacing w:before="60" w:after="60"/>
        <w:jc w:val="both"/>
      </w:pPr>
      <w:r>
        <w:t xml:space="preserve">Ensure all leave is booked and recorded </w:t>
      </w:r>
      <w:r w:rsidR="00470E54">
        <w:t xml:space="preserve">on </w:t>
      </w:r>
      <w:proofErr w:type="spellStart"/>
      <w:r w:rsidR="00470E54">
        <w:t>iTrent</w:t>
      </w:r>
      <w:proofErr w:type="spellEnd"/>
      <w:r>
        <w:t xml:space="preserve"> before the end of August each year; encourage team members to plan leave with sufficient notice.</w:t>
      </w:r>
    </w:p>
    <w:p w14:paraId="02591781" w14:textId="09B54EB2" w:rsidR="0044370C" w:rsidRDefault="00FC0869" w:rsidP="00470E54">
      <w:pPr>
        <w:pStyle w:val="ListParagraph"/>
        <w:numPr>
          <w:ilvl w:val="0"/>
          <w:numId w:val="2"/>
        </w:numPr>
        <w:spacing w:before="60" w:after="60"/>
        <w:jc w:val="both"/>
      </w:pPr>
      <w:r>
        <w:t xml:space="preserve">Manage sickness absence in accordance with organisational policy, </w:t>
      </w:r>
      <w:r w:rsidR="00470E54">
        <w:t>ensuring adherence to the sickness policy</w:t>
      </w:r>
      <w:r>
        <w:t xml:space="preserve"> and maintaining up-to-date team records.</w:t>
      </w:r>
    </w:p>
    <w:p w14:paraId="7BE0E90A" w14:textId="77777777" w:rsidR="0044370C" w:rsidRDefault="00FC0869" w:rsidP="00470E54">
      <w:pPr>
        <w:spacing w:before="220" w:after="100"/>
        <w:jc w:val="both"/>
      </w:pPr>
      <w:r>
        <w:rPr>
          <w:b/>
          <w:bCs/>
          <w:sz w:val="22"/>
          <w:szCs w:val="22"/>
        </w:rPr>
        <w:t>7.  Staff Wellbeing &amp; Pastoral Care</w:t>
      </w:r>
    </w:p>
    <w:p w14:paraId="7E59116D" w14:textId="77777777" w:rsidR="0044370C" w:rsidRDefault="00FC0869" w:rsidP="00470E54">
      <w:pPr>
        <w:pStyle w:val="ListParagraph"/>
        <w:numPr>
          <w:ilvl w:val="0"/>
          <w:numId w:val="2"/>
        </w:numPr>
        <w:spacing w:before="60" w:after="60"/>
        <w:jc w:val="both"/>
      </w:pPr>
      <w:r>
        <w:t>Act as the first point of contact for team members' wellbeing concerns, providing a supportive and accessible presence for OHTs working across dispersed sites.</w:t>
      </w:r>
    </w:p>
    <w:p w14:paraId="39FE78E9" w14:textId="77777777" w:rsidR="0044370C" w:rsidRDefault="00FC0869" w:rsidP="00470E54">
      <w:pPr>
        <w:pStyle w:val="ListParagraph"/>
        <w:numPr>
          <w:ilvl w:val="0"/>
          <w:numId w:val="2"/>
        </w:numPr>
        <w:spacing w:before="60" w:after="60"/>
        <w:jc w:val="both"/>
      </w:pPr>
      <w:r>
        <w:t>Conduct regular wellbeing check-ins within one-to-one meetings and as needed, signposting to appropriate organisational support services where required.</w:t>
      </w:r>
    </w:p>
    <w:p w14:paraId="7271554A" w14:textId="77777777" w:rsidR="0044370C" w:rsidRDefault="00FC0869" w:rsidP="00470E54">
      <w:pPr>
        <w:pStyle w:val="ListParagraph"/>
        <w:numPr>
          <w:ilvl w:val="0"/>
          <w:numId w:val="2"/>
        </w:numPr>
        <w:spacing w:before="60" w:after="60"/>
        <w:jc w:val="both"/>
      </w:pPr>
      <w:r>
        <w:t>Foster a positive team culture that promotes psychological safety, open communication, and professional pride.</w:t>
      </w:r>
    </w:p>
    <w:p w14:paraId="00E1DF23" w14:textId="1731AE7E" w:rsidR="0044370C" w:rsidRDefault="00FC0869" w:rsidP="00470E54">
      <w:pPr>
        <w:pStyle w:val="ListParagraph"/>
        <w:numPr>
          <w:ilvl w:val="0"/>
          <w:numId w:val="2"/>
        </w:numPr>
        <w:spacing w:before="60" w:after="60"/>
        <w:jc w:val="both"/>
      </w:pPr>
      <w:r>
        <w:t xml:space="preserve">Monitor workload and travel </w:t>
      </w:r>
      <w:proofErr w:type="gramStart"/>
      <w:r>
        <w:t>demands</w:t>
      </w:r>
      <w:proofErr w:type="gramEnd"/>
      <w:r>
        <w:t xml:space="preserve"> across the team, escalating to the </w:t>
      </w:r>
      <w:r w:rsidR="00470E54">
        <w:t>Head of Nursing</w:t>
      </w:r>
      <w:r w:rsidR="00470E54">
        <w:t xml:space="preserve"> </w:t>
      </w:r>
      <w:r>
        <w:t>where patterns indicate risk of burnout or unsustainable working conditions.</w:t>
      </w:r>
    </w:p>
    <w:p w14:paraId="7040964C" w14:textId="77777777" w:rsidR="0044370C" w:rsidRDefault="00FC0869" w:rsidP="00470E54">
      <w:pPr>
        <w:spacing w:before="220" w:after="100"/>
        <w:jc w:val="both"/>
      </w:pPr>
      <w:r>
        <w:rPr>
          <w:b/>
          <w:bCs/>
          <w:sz w:val="22"/>
          <w:szCs w:val="22"/>
        </w:rPr>
        <w:t>8.  Utilisation, Sickness Cover &amp; Contingency Planning</w:t>
      </w:r>
    </w:p>
    <w:p w14:paraId="78D2CFD3" w14:textId="1FFC27A4" w:rsidR="0044370C" w:rsidRDefault="00FC0869" w:rsidP="00470E54">
      <w:pPr>
        <w:pStyle w:val="ListParagraph"/>
        <w:numPr>
          <w:ilvl w:val="0"/>
          <w:numId w:val="2"/>
        </w:numPr>
        <w:spacing w:before="60" w:after="60"/>
        <w:jc w:val="both"/>
      </w:pPr>
      <w:r>
        <w:t xml:space="preserve">Proactively maximise team utilisation each day; where capacity is available, bring an actionable plan to the </w:t>
      </w:r>
      <w:r w:rsidR="00470E54">
        <w:t>operational lead</w:t>
      </w:r>
      <w:r>
        <w:t xml:space="preserve"> to increase productive clinical output.</w:t>
      </w:r>
    </w:p>
    <w:p w14:paraId="4A7BD959" w14:textId="0908AE02" w:rsidR="0044370C" w:rsidRDefault="00FC0869" w:rsidP="00470E54">
      <w:pPr>
        <w:pStyle w:val="ListParagraph"/>
        <w:numPr>
          <w:ilvl w:val="0"/>
          <w:numId w:val="2"/>
        </w:numPr>
        <w:spacing w:before="60" w:after="60"/>
        <w:jc w:val="both"/>
      </w:pPr>
      <w:r>
        <w:t xml:space="preserve">Develop and maintain contingency plans for sickness and unplanned absence, ensuring clients are not impacted wherever possible; coordinate cover across the OHT team before escalating to the </w:t>
      </w:r>
      <w:r w:rsidR="00470E54">
        <w:t xml:space="preserve">Operational Lead and </w:t>
      </w:r>
      <w:r w:rsidR="00470E54">
        <w:t>Head of Nursing</w:t>
      </w:r>
      <w:r>
        <w:t>.</w:t>
      </w:r>
    </w:p>
    <w:p w14:paraId="0C4E0360" w14:textId="6DC4F3BF" w:rsidR="0044370C" w:rsidRDefault="00FC0869" w:rsidP="00470E54">
      <w:pPr>
        <w:pStyle w:val="ListParagraph"/>
        <w:numPr>
          <w:ilvl w:val="0"/>
          <w:numId w:val="2"/>
        </w:numPr>
        <w:spacing w:before="60" w:after="60"/>
        <w:jc w:val="both"/>
      </w:pPr>
      <w:r>
        <w:t>Attend client sites personally to provide OHT clinical cover when no other cover is available, ensuring continuity of service</w:t>
      </w:r>
      <w:r w:rsidR="00470E54">
        <w:t>, where appropriate</w:t>
      </w:r>
      <w:r>
        <w:t>.</w:t>
      </w:r>
    </w:p>
    <w:p w14:paraId="7A222B0B" w14:textId="77777777" w:rsidR="0044370C" w:rsidRDefault="00FC0869">
      <w:pPr>
        <w:spacing w:before="220" w:after="100"/>
      </w:pPr>
      <w:r>
        <w:rPr>
          <w:b/>
          <w:bCs/>
          <w:sz w:val="22"/>
          <w:szCs w:val="22"/>
        </w:rPr>
        <w:t>9.  Clinical Practice</w:t>
      </w:r>
    </w:p>
    <w:p w14:paraId="0BDA3099" w14:textId="153D3487" w:rsidR="0044370C" w:rsidRDefault="00FC0869" w:rsidP="00470E54">
      <w:pPr>
        <w:pStyle w:val="ListParagraph"/>
        <w:numPr>
          <w:ilvl w:val="0"/>
          <w:numId w:val="2"/>
        </w:numPr>
        <w:spacing w:before="60" w:after="60"/>
        <w:jc w:val="both"/>
      </w:pPr>
      <w:r>
        <w:t xml:space="preserve">Maintain a regular clinical caseload as a practising Occupational Health Technician, keeping personal competencies current across all relevant surveillance </w:t>
      </w:r>
      <w:r w:rsidR="00470E54">
        <w:t xml:space="preserve">and screening </w:t>
      </w:r>
      <w:r>
        <w:t>modalities</w:t>
      </w:r>
      <w:r w:rsidR="00470E54">
        <w:t xml:space="preserve">. </w:t>
      </w:r>
    </w:p>
    <w:p w14:paraId="4C870AC3" w14:textId="534C6063" w:rsidR="0044370C" w:rsidRDefault="00FC0869" w:rsidP="00470E54">
      <w:pPr>
        <w:pStyle w:val="ListParagraph"/>
        <w:numPr>
          <w:ilvl w:val="0"/>
          <w:numId w:val="2"/>
        </w:numPr>
        <w:spacing w:before="60" w:after="60"/>
        <w:jc w:val="both"/>
      </w:pPr>
      <w:r>
        <w:t>Provide clinical cover for the OHT team as required</w:t>
      </w:r>
      <w:r w:rsidR="00470E54">
        <w:t>/appropriate</w:t>
      </w:r>
      <w:r>
        <w:t>, including planned and unplanned cover at client sites.</w:t>
      </w:r>
    </w:p>
    <w:p w14:paraId="73B4C8FB" w14:textId="77777777" w:rsidR="0044370C" w:rsidRDefault="00FC0869" w:rsidP="00470E54">
      <w:pPr>
        <w:pStyle w:val="ListParagraph"/>
        <w:numPr>
          <w:ilvl w:val="0"/>
          <w:numId w:val="2"/>
        </w:numPr>
        <w:spacing w:before="60" w:after="60"/>
        <w:jc w:val="both"/>
      </w:pPr>
      <w:r>
        <w:t>Lead by example in clinical standards, professional conduct, and commitment to quality, acting as a role model for the wider OHT team.</w:t>
      </w:r>
    </w:p>
    <w:p w14:paraId="0876F7F0" w14:textId="77777777" w:rsidR="0044370C" w:rsidRDefault="00FC0869">
      <w:pPr>
        <w:spacing w:before="220" w:after="100"/>
      </w:pPr>
      <w:r>
        <w:rPr>
          <w:b/>
          <w:bCs/>
          <w:sz w:val="22"/>
          <w:szCs w:val="22"/>
        </w:rPr>
        <w:t>10.  Financial Management &amp; Claims</w:t>
      </w:r>
    </w:p>
    <w:p w14:paraId="571279E5" w14:textId="77777777" w:rsidR="0044370C" w:rsidRDefault="00FC0869">
      <w:pPr>
        <w:pStyle w:val="ListParagraph"/>
        <w:numPr>
          <w:ilvl w:val="0"/>
          <w:numId w:val="2"/>
        </w:numPr>
        <w:spacing w:before="60" w:after="60"/>
      </w:pPr>
      <w:r>
        <w:t>Ensure all team expenses and your own are submitted by the 5th of each calendar month.</w:t>
      </w:r>
    </w:p>
    <w:p w14:paraId="426E8FD4" w14:textId="4AE6E4C3" w:rsidR="0044370C" w:rsidRDefault="00FC0869">
      <w:pPr>
        <w:pStyle w:val="ListParagraph"/>
        <w:numPr>
          <w:ilvl w:val="0"/>
          <w:numId w:val="2"/>
        </w:numPr>
        <w:spacing w:before="60" w:after="60"/>
      </w:pPr>
      <w:r>
        <w:t xml:space="preserve">Support OHTs in correctly recording and claiming </w:t>
      </w:r>
      <w:r w:rsidR="00470E54">
        <w:t>additional/overtime</w:t>
      </w:r>
      <w:r>
        <w:t xml:space="preserve"> hours entitlement.</w:t>
      </w:r>
    </w:p>
    <w:p w14:paraId="6BFB32F5" w14:textId="77777777" w:rsidR="0044370C" w:rsidRDefault="00FC0869">
      <w:pPr>
        <w:spacing w:before="220" w:after="100"/>
      </w:pPr>
      <w:r>
        <w:rPr>
          <w:b/>
          <w:bCs/>
          <w:sz w:val="22"/>
          <w:szCs w:val="22"/>
        </w:rPr>
        <w:t>11.  Equipment, Stock &amp; Vehicle Management</w:t>
      </w:r>
    </w:p>
    <w:p w14:paraId="1EDEC4A9" w14:textId="5ECB1A94" w:rsidR="0044370C" w:rsidRDefault="00FC0869" w:rsidP="00674A48">
      <w:pPr>
        <w:pStyle w:val="ListParagraph"/>
        <w:numPr>
          <w:ilvl w:val="0"/>
          <w:numId w:val="2"/>
        </w:numPr>
        <w:spacing w:before="60" w:after="60"/>
        <w:jc w:val="both"/>
      </w:pPr>
      <w:r>
        <w:t xml:space="preserve">Ensure all OHTs complete and submit their Equipment Maintenance Checklist monthly; escalate failures immediately, implement interim solutions to prevent clinic disruption, and update the </w:t>
      </w:r>
      <w:r w:rsidR="00674A48">
        <w:t>senior management team/account manager</w:t>
      </w:r>
      <w:r>
        <w:t>.</w:t>
      </w:r>
    </w:p>
    <w:p w14:paraId="632B5159" w14:textId="7BF5FB2C" w:rsidR="0044370C" w:rsidRDefault="00FC0869" w:rsidP="00674A48">
      <w:pPr>
        <w:pStyle w:val="ListParagraph"/>
        <w:numPr>
          <w:ilvl w:val="0"/>
          <w:numId w:val="2"/>
        </w:numPr>
        <w:spacing w:before="60" w:after="60"/>
        <w:jc w:val="both"/>
      </w:pPr>
      <w:r>
        <w:t xml:space="preserve">Ensure all OHTs complete and submit their monthly stock checklists; oversee timely ordering and ensure minimal stock holdings are maintained; collate data for the Monthly OH Screening Checklist submission to the </w:t>
      </w:r>
      <w:r w:rsidR="00470E54">
        <w:t>Head of Nursing</w:t>
      </w:r>
      <w:r>
        <w:t>.</w:t>
      </w:r>
    </w:p>
    <w:p w14:paraId="65D12E1E" w14:textId="77777777" w:rsidR="00470E54" w:rsidRDefault="00FC0869" w:rsidP="00470E54">
      <w:pPr>
        <w:pStyle w:val="ListParagraph"/>
        <w:numPr>
          <w:ilvl w:val="0"/>
          <w:numId w:val="2"/>
        </w:numPr>
        <w:spacing w:before="60" w:after="60"/>
      </w:pPr>
      <w:r>
        <w:lastRenderedPageBreak/>
        <w:t>Ensure all MSU OHTs complete and submit the Vehicle Maintenance Checklist monthly; escalate and resolve vehicle issues in a timely manner.</w:t>
      </w:r>
      <w:r w:rsidR="00470E54" w:rsidRPr="00470E54">
        <w:t xml:space="preserve"> </w:t>
      </w:r>
    </w:p>
    <w:p w14:paraId="16AD7AB4" w14:textId="22DBD042" w:rsidR="00470E54" w:rsidRDefault="00470E54" w:rsidP="00470E54">
      <w:pPr>
        <w:pStyle w:val="ListParagraph"/>
        <w:numPr>
          <w:ilvl w:val="0"/>
          <w:numId w:val="2"/>
        </w:numPr>
        <w:spacing w:before="60" w:after="60"/>
      </w:pPr>
      <w:r>
        <w:t>Ensure the personal alarm log is completed and uploaded each month for every team member.</w:t>
      </w:r>
    </w:p>
    <w:p w14:paraId="633E96C9" w14:textId="77777777" w:rsidR="0044370C" w:rsidRPr="00674A48" w:rsidRDefault="00FC0869">
      <w:pPr>
        <w:pBdr>
          <w:bottom w:val="single" w:sz="8" w:space="6" w:color="007B8A"/>
        </w:pBdr>
        <w:spacing w:before="360" w:after="160"/>
        <w:rPr>
          <w:color w:val="7030A0"/>
        </w:rPr>
      </w:pPr>
      <w:r w:rsidRPr="00674A48">
        <w:rPr>
          <w:b/>
          <w:bCs/>
          <w:color w:val="7030A0"/>
          <w:sz w:val="24"/>
          <w:szCs w:val="24"/>
        </w:rPr>
        <w:t>PERSON SPECIFICATION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4370C" w14:paraId="708B375E" w14:textId="77777777" w:rsidTr="00674A48">
        <w:tblPrEx>
          <w:tblCellMar>
            <w:top w:w="0" w:type="dxa"/>
            <w:bottom w:w="0" w:type="dxa"/>
          </w:tblCellMar>
        </w:tblPrEx>
        <w:tc>
          <w:tcPr>
            <w:tcW w:w="4680" w:type="dxa"/>
            <w:tcBorders>
              <w:top w:val="single" w:sz="4" w:space="0" w:color="C0D8DC"/>
              <w:left w:val="single" w:sz="4" w:space="0" w:color="C0D8DC"/>
              <w:bottom w:val="single" w:sz="4" w:space="0" w:color="C0D8DC"/>
              <w:right w:val="single" w:sz="4" w:space="0" w:color="C0D8DC"/>
            </w:tcBorders>
            <w:shd w:val="clear" w:color="auto" w:fill="7030A0"/>
            <w:tcMar>
              <w:top w:w="100" w:type="dxa"/>
              <w:left w:w="130" w:type="dxa"/>
              <w:bottom w:w="100" w:type="dxa"/>
              <w:right w:w="130" w:type="dxa"/>
            </w:tcMar>
          </w:tcPr>
          <w:p w14:paraId="6605A162" w14:textId="77777777" w:rsidR="0044370C" w:rsidRDefault="00FC0869">
            <w:r>
              <w:rPr>
                <w:b/>
                <w:bCs/>
                <w:color w:val="FFFFFF"/>
                <w:sz w:val="21"/>
                <w:szCs w:val="21"/>
              </w:rPr>
              <w:t>Essential</w:t>
            </w:r>
          </w:p>
        </w:tc>
        <w:tc>
          <w:tcPr>
            <w:tcW w:w="4680" w:type="dxa"/>
            <w:tcBorders>
              <w:top w:val="single" w:sz="4" w:space="0" w:color="C0D8DC"/>
              <w:left w:val="single" w:sz="4" w:space="0" w:color="C0D8DC"/>
              <w:bottom w:val="single" w:sz="4" w:space="0" w:color="C0D8DC"/>
              <w:right w:val="single" w:sz="4" w:space="0" w:color="C0D8DC"/>
            </w:tcBorders>
            <w:shd w:val="clear" w:color="auto" w:fill="7030A0"/>
            <w:tcMar>
              <w:top w:w="100" w:type="dxa"/>
              <w:left w:w="130" w:type="dxa"/>
              <w:bottom w:w="100" w:type="dxa"/>
              <w:right w:w="130" w:type="dxa"/>
            </w:tcMar>
          </w:tcPr>
          <w:p w14:paraId="010D2684" w14:textId="77777777" w:rsidR="0044370C" w:rsidRDefault="00FC0869">
            <w:r>
              <w:rPr>
                <w:b/>
                <w:bCs/>
                <w:color w:val="FFFFFF"/>
                <w:sz w:val="21"/>
                <w:szCs w:val="21"/>
              </w:rPr>
              <w:t>Desirable</w:t>
            </w:r>
          </w:p>
        </w:tc>
      </w:tr>
      <w:tr w:rsidR="0044370C" w14:paraId="272FC635" w14:textId="77777777" w:rsidTr="00674A48">
        <w:tblPrEx>
          <w:tblCellMar>
            <w:top w:w="0" w:type="dxa"/>
            <w:bottom w:w="0" w:type="dxa"/>
          </w:tblCellMar>
        </w:tblPrEx>
        <w:tc>
          <w:tcPr>
            <w:tcW w:w="9360" w:type="dxa"/>
            <w:gridSpan w:val="2"/>
            <w:tcBorders>
              <w:top w:val="single" w:sz="4" w:space="0" w:color="C0D8DC"/>
              <w:left w:val="single" w:sz="4" w:space="0" w:color="C0D8DC"/>
              <w:bottom w:val="single" w:sz="4" w:space="0" w:color="C0D8DC"/>
              <w:right w:val="single" w:sz="4" w:space="0" w:color="C0D8DC"/>
            </w:tcBorders>
            <w:shd w:val="clear" w:color="auto" w:fill="F2CEED" w:themeFill="accent5" w:themeFillTint="33"/>
            <w:tcMar>
              <w:top w:w="80" w:type="dxa"/>
              <w:left w:w="130" w:type="dxa"/>
              <w:bottom w:w="80" w:type="dxa"/>
              <w:right w:w="130" w:type="dxa"/>
            </w:tcMar>
          </w:tcPr>
          <w:p w14:paraId="27D811CE" w14:textId="77777777" w:rsidR="0044370C" w:rsidRDefault="00FC0869">
            <w:r w:rsidRPr="00674A48">
              <w:rPr>
                <w:b/>
                <w:bCs/>
                <w:color w:val="000000" w:themeColor="text1"/>
              </w:rPr>
              <w:t>Experience &amp; Knowledge</w:t>
            </w:r>
          </w:p>
        </w:tc>
      </w:tr>
      <w:tr w:rsidR="0044370C" w14:paraId="05EF4AE5" w14:textId="77777777">
        <w:tblPrEx>
          <w:tblCellMar>
            <w:top w:w="0" w:type="dxa"/>
            <w:bottom w:w="0" w:type="dxa"/>
          </w:tblCellMar>
        </w:tblPrEx>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6ED3A5D5" w14:textId="77777777" w:rsidR="0044370C" w:rsidRDefault="00FC0869">
            <w:r>
              <w:t>Proven competency across core OHT surveillance modalities: audiometry, spirometry, Chester Step Test, and vision screening.</w:t>
            </w:r>
          </w:p>
        </w:tc>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488DE0A1" w14:textId="77777777" w:rsidR="0044370C" w:rsidRDefault="00FC0869">
            <w:r>
              <w:t>Previous experience in a team leader, supervisory, or management role within an occupational health or clinical setting.</w:t>
            </w:r>
          </w:p>
        </w:tc>
      </w:tr>
      <w:tr w:rsidR="0044370C" w14:paraId="2E3F1579" w14:textId="77777777">
        <w:tblPrEx>
          <w:tblCellMar>
            <w:top w:w="0" w:type="dxa"/>
            <w:bottom w:w="0" w:type="dxa"/>
          </w:tblCellMar>
        </w:tblPrEx>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4818F4D4" w14:textId="77777777" w:rsidR="0044370C" w:rsidRDefault="00FC0869">
            <w:r>
              <w:t>Sound understanding of occupational health surveillance requirements and clinical governance responsibilities.</w:t>
            </w:r>
          </w:p>
        </w:tc>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0075475B" w14:textId="77777777" w:rsidR="0044370C" w:rsidRDefault="00FC0869">
            <w:r>
              <w:t>Familiarity with SEQOHS standards and CQC regulatory requirements.</w:t>
            </w:r>
          </w:p>
        </w:tc>
      </w:tr>
      <w:tr w:rsidR="0044370C" w14:paraId="0E41B6BF" w14:textId="77777777">
        <w:tblPrEx>
          <w:tblCellMar>
            <w:top w:w="0" w:type="dxa"/>
            <w:bottom w:w="0" w:type="dxa"/>
          </w:tblCellMar>
        </w:tblPrEx>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45278B44" w14:textId="77777777" w:rsidR="0044370C" w:rsidRDefault="00FC0869">
            <w:r>
              <w:t>Experience managing or coordinating a dispersed or field-based clinical workforce.</w:t>
            </w:r>
          </w:p>
        </w:tc>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1916798C" w14:textId="77777777" w:rsidR="0044370C" w:rsidRDefault="00FC0869">
            <w:r>
              <w:t>Experience working with Mobile Screening Units (MSUs).</w:t>
            </w:r>
          </w:p>
        </w:tc>
      </w:tr>
      <w:tr w:rsidR="0044370C" w14:paraId="6327C0CB" w14:textId="77777777">
        <w:tblPrEx>
          <w:tblCellMar>
            <w:top w:w="0" w:type="dxa"/>
            <w:bottom w:w="0" w:type="dxa"/>
          </w:tblCellMar>
        </w:tblPrEx>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0A0C6A6C" w14:textId="77777777" w:rsidR="0044370C" w:rsidRDefault="00FC0869">
            <w:r>
              <w:t>Experience conducting clinical audits and implementing improvement actions from findings.</w:t>
            </w:r>
          </w:p>
        </w:tc>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195B6B15" w14:textId="77777777" w:rsidR="0044370C" w:rsidRDefault="00FC0869">
            <w:r>
              <w:t>Involvement in SOP or policy development within a clinical environment.</w:t>
            </w:r>
          </w:p>
        </w:tc>
      </w:tr>
      <w:tr w:rsidR="0044370C" w14:paraId="4E9E43A6" w14:textId="77777777">
        <w:tblPrEx>
          <w:tblCellMar>
            <w:top w:w="0" w:type="dxa"/>
            <w:bottom w:w="0" w:type="dxa"/>
          </w:tblCellMar>
        </w:tblPrEx>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071C267C" w14:textId="77777777" w:rsidR="0044370C" w:rsidRDefault="00FC0869">
            <w:r>
              <w:t>Experience managing complaints or adverse incidents within a healthcare or clinical governance framework.</w:t>
            </w:r>
          </w:p>
        </w:tc>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5DFD0463" w14:textId="77777777" w:rsidR="0044370C" w:rsidRDefault="00FC0869">
            <w:r>
              <w:t>Knowledge of NHS or commercial occupational health service delivery models.</w:t>
            </w:r>
          </w:p>
        </w:tc>
      </w:tr>
      <w:tr w:rsidR="0044370C" w14:paraId="20058B26" w14:textId="77777777" w:rsidTr="00674A48">
        <w:tblPrEx>
          <w:tblCellMar>
            <w:top w:w="0" w:type="dxa"/>
            <w:bottom w:w="0" w:type="dxa"/>
          </w:tblCellMar>
        </w:tblPrEx>
        <w:tc>
          <w:tcPr>
            <w:tcW w:w="9360" w:type="dxa"/>
            <w:gridSpan w:val="2"/>
            <w:tcBorders>
              <w:top w:val="single" w:sz="4" w:space="0" w:color="C0D8DC"/>
              <w:left w:val="single" w:sz="4" w:space="0" w:color="C0D8DC"/>
              <w:bottom w:val="single" w:sz="4" w:space="0" w:color="C0D8DC"/>
              <w:right w:val="single" w:sz="4" w:space="0" w:color="C0D8DC"/>
            </w:tcBorders>
            <w:shd w:val="clear" w:color="auto" w:fill="F2CEED" w:themeFill="accent5" w:themeFillTint="33"/>
            <w:tcMar>
              <w:top w:w="80" w:type="dxa"/>
              <w:left w:w="130" w:type="dxa"/>
              <w:bottom w:w="80" w:type="dxa"/>
              <w:right w:w="130" w:type="dxa"/>
            </w:tcMar>
          </w:tcPr>
          <w:p w14:paraId="2896108C" w14:textId="77777777" w:rsidR="0044370C" w:rsidRDefault="00FC0869">
            <w:r w:rsidRPr="00674A48">
              <w:rPr>
                <w:b/>
                <w:bCs/>
                <w:color w:val="000000" w:themeColor="text1"/>
              </w:rPr>
              <w:t>Skills &amp; Abilities</w:t>
            </w:r>
          </w:p>
        </w:tc>
      </w:tr>
      <w:tr w:rsidR="0044370C" w14:paraId="1DD775F5" w14:textId="77777777">
        <w:tblPrEx>
          <w:tblCellMar>
            <w:top w:w="0" w:type="dxa"/>
            <w:bottom w:w="0" w:type="dxa"/>
          </w:tblCellMar>
        </w:tblPrEx>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0FB804CD" w14:textId="77777777" w:rsidR="0044370C" w:rsidRDefault="00FC0869">
            <w:r>
              <w:t>Strong organisational skills with the ability to manage multiple concurrent priorities across a geographically dispersed team.</w:t>
            </w:r>
          </w:p>
        </w:tc>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219CF7B4" w14:textId="725043CD" w:rsidR="0044370C" w:rsidRDefault="00FC0869">
            <w:r>
              <w:t xml:space="preserve">Proficiency in </w:t>
            </w:r>
            <w:r>
              <w:t xml:space="preserve">reporting and </w:t>
            </w:r>
            <w:r>
              <w:t>management tools.</w:t>
            </w:r>
          </w:p>
        </w:tc>
      </w:tr>
      <w:tr w:rsidR="0044370C" w14:paraId="248C9922" w14:textId="77777777">
        <w:tblPrEx>
          <w:tblCellMar>
            <w:top w:w="0" w:type="dxa"/>
            <w:bottom w:w="0" w:type="dxa"/>
          </w:tblCellMar>
        </w:tblPrEx>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6DD4E901" w14:textId="77777777" w:rsidR="0044370C" w:rsidRDefault="00FC0869">
            <w:r>
              <w:t>Ability to identify and respond to clinical and operational risks in a timely and proportionate manner.</w:t>
            </w:r>
          </w:p>
        </w:tc>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1BFBC3A0" w14:textId="77777777" w:rsidR="0044370C" w:rsidRDefault="00FC0869">
            <w:r>
              <w:t>Experience developing training, competency, or onboarding frameworks.</w:t>
            </w:r>
          </w:p>
        </w:tc>
      </w:tr>
      <w:tr w:rsidR="0044370C" w14:paraId="5F1FFA2A" w14:textId="77777777">
        <w:tblPrEx>
          <w:tblCellMar>
            <w:top w:w="0" w:type="dxa"/>
            <w:bottom w:w="0" w:type="dxa"/>
          </w:tblCellMar>
        </w:tblPrEx>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40DB762F" w14:textId="77777777" w:rsidR="0044370C" w:rsidRDefault="00FC0869">
            <w:r>
              <w:t>Clear and effective verbal and written communication skills, with confidence to engage clinicians, clients, and senior stakeholders.</w:t>
            </w:r>
          </w:p>
        </w:tc>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3E51B1D4" w14:textId="77777777" w:rsidR="0044370C" w:rsidRDefault="00FC0869">
            <w:r>
              <w:t>Coaching or mentoring capability.</w:t>
            </w:r>
          </w:p>
        </w:tc>
      </w:tr>
      <w:tr w:rsidR="0044370C" w14:paraId="4180C59B" w14:textId="77777777">
        <w:tblPrEx>
          <w:tblCellMar>
            <w:top w:w="0" w:type="dxa"/>
            <w:bottom w:w="0" w:type="dxa"/>
          </w:tblCellMar>
        </w:tblPrEx>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68CD0987" w14:textId="3F305E13" w:rsidR="0044370C" w:rsidRDefault="00FC0869">
            <w:r>
              <w:t xml:space="preserve">Proficiency in Microsoft Teams, Outlook, and clinical / HR systems </w:t>
            </w:r>
          </w:p>
        </w:tc>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1CF36BF1" w14:textId="77777777" w:rsidR="0044370C" w:rsidRDefault="0044370C"/>
        </w:tc>
      </w:tr>
      <w:tr w:rsidR="0044370C" w14:paraId="4D440DE1" w14:textId="77777777" w:rsidTr="00674A48">
        <w:tblPrEx>
          <w:tblCellMar>
            <w:top w:w="0" w:type="dxa"/>
            <w:bottom w:w="0" w:type="dxa"/>
          </w:tblCellMar>
        </w:tblPrEx>
        <w:tc>
          <w:tcPr>
            <w:tcW w:w="9360" w:type="dxa"/>
            <w:gridSpan w:val="2"/>
            <w:tcBorders>
              <w:top w:val="single" w:sz="4" w:space="0" w:color="C0D8DC"/>
              <w:left w:val="single" w:sz="4" w:space="0" w:color="C0D8DC"/>
              <w:bottom w:val="single" w:sz="4" w:space="0" w:color="C0D8DC"/>
              <w:right w:val="single" w:sz="4" w:space="0" w:color="C0D8DC"/>
            </w:tcBorders>
            <w:shd w:val="clear" w:color="auto" w:fill="F2CEED" w:themeFill="accent5" w:themeFillTint="33"/>
            <w:tcMar>
              <w:top w:w="80" w:type="dxa"/>
              <w:left w:w="130" w:type="dxa"/>
              <w:bottom w:w="80" w:type="dxa"/>
              <w:right w:w="130" w:type="dxa"/>
            </w:tcMar>
          </w:tcPr>
          <w:p w14:paraId="0429A8F9" w14:textId="77777777" w:rsidR="0044370C" w:rsidRDefault="00FC0869">
            <w:r w:rsidRPr="00674A48">
              <w:rPr>
                <w:b/>
                <w:bCs/>
                <w:color w:val="000000" w:themeColor="text1"/>
              </w:rPr>
              <w:t>Personal Attributes</w:t>
            </w:r>
          </w:p>
        </w:tc>
      </w:tr>
      <w:tr w:rsidR="0044370C" w14:paraId="6191548A" w14:textId="77777777">
        <w:tblPrEx>
          <w:tblCellMar>
            <w:top w:w="0" w:type="dxa"/>
            <w:bottom w:w="0" w:type="dxa"/>
          </w:tblCellMar>
        </w:tblPrEx>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46D55E22" w14:textId="77777777" w:rsidR="0044370C" w:rsidRDefault="00FC0869">
            <w:r>
              <w:t>High level of personal accountability and follow-through, requiring minimal supervision.</w:t>
            </w:r>
          </w:p>
        </w:tc>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02891FB0" w14:textId="77777777" w:rsidR="0044370C" w:rsidRDefault="00FC0869">
            <w:r>
              <w:t>Experience managing formal HR or disciplinary processes.</w:t>
            </w:r>
          </w:p>
        </w:tc>
      </w:tr>
      <w:tr w:rsidR="0044370C" w14:paraId="2BE35EE6" w14:textId="77777777">
        <w:tblPrEx>
          <w:tblCellMar>
            <w:top w:w="0" w:type="dxa"/>
            <w:bottom w:w="0" w:type="dxa"/>
          </w:tblCellMar>
        </w:tblPrEx>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1F65156B" w14:textId="77777777" w:rsidR="0044370C" w:rsidRDefault="00FC0869">
            <w:r>
              <w:t>Proactive and solutions-focused: identifies problems and presents resolutions before escalating.</w:t>
            </w:r>
          </w:p>
        </w:tc>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03F367D7" w14:textId="77777777" w:rsidR="0044370C" w:rsidRDefault="00FC0869">
            <w:r>
              <w:t>Commitment to continuing professional development and quality improvement.</w:t>
            </w:r>
          </w:p>
        </w:tc>
      </w:tr>
      <w:tr w:rsidR="0044370C" w14:paraId="14281B05" w14:textId="77777777">
        <w:tblPrEx>
          <w:tblCellMar>
            <w:top w:w="0" w:type="dxa"/>
            <w:bottom w:w="0" w:type="dxa"/>
          </w:tblCellMar>
        </w:tblPrEx>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4CBC7572" w14:textId="77777777" w:rsidR="0044370C" w:rsidRDefault="00FC0869">
            <w:r>
              <w:t>Approachable, supportive line manager who maintains clear and fair professional boundaries.</w:t>
            </w:r>
          </w:p>
        </w:tc>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74F272B9" w14:textId="77777777" w:rsidR="0044370C" w:rsidRDefault="0044370C"/>
        </w:tc>
      </w:tr>
      <w:tr w:rsidR="0044370C" w14:paraId="2F0E47D5" w14:textId="77777777">
        <w:tblPrEx>
          <w:tblCellMar>
            <w:top w:w="0" w:type="dxa"/>
            <w:bottom w:w="0" w:type="dxa"/>
          </w:tblCellMar>
        </w:tblPrEx>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61A15360" w14:textId="77777777" w:rsidR="0044370C" w:rsidRDefault="00FC0869">
            <w:r>
              <w:t>Demonstrates genuine commitment to staff wellbeing and pastoral care alongside operational performance.</w:t>
            </w:r>
          </w:p>
        </w:tc>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05086B70" w14:textId="77777777" w:rsidR="0044370C" w:rsidRDefault="0044370C"/>
        </w:tc>
      </w:tr>
      <w:tr w:rsidR="0044370C" w14:paraId="4162FF1B" w14:textId="77777777">
        <w:tblPrEx>
          <w:tblCellMar>
            <w:top w:w="0" w:type="dxa"/>
            <w:bottom w:w="0" w:type="dxa"/>
          </w:tblCellMar>
        </w:tblPrEx>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51E68D4C" w14:textId="77777777" w:rsidR="0044370C" w:rsidRDefault="00FC0869">
            <w:r>
              <w:lastRenderedPageBreak/>
              <w:t>Commitment to equality, diversity, and inclusion in all aspects of team management.</w:t>
            </w:r>
          </w:p>
        </w:tc>
        <w:tc>
          <w:tcPr>
            <w:tcW w:w="4680" w:type="dxa"/>
            <w:tcBorders>
              <w:top w:val="single" w:sz="4" w:space="0" w:color="C0D8DC"/>
              <w:left w:val="single" w:sz="4" w:space="0" w:color="C0D8DC"/>
              <w:bottom w:val="single" w:sz="4" w:space="0" w:color="C0D8DC"/>
              <w:right w:val="single" w:sz="4" w:space="0" w:color="C0D8DC"/>
            </w:tcBorders>
            <w:tcMar>
              <w:top w:w="90" w:type="dxa"/>
              <w:left w:w="130" w:type="dxa"/>
              <w:bottom w:w="90" w:type="dxa"/>
              <w:right w:w="130" w:type="dxa"/>
            </w:tcMar>
          </w:tcPr>
          <w:p w14:paraId="14C76B10" w14:textId="77777777" w:rsidR="0044370C" w:rsidRDefault="0044370C"/>
        </w:tc>
      </w:tr>
    </w:tbl>
    <w:p w14:paraId="2215C507" w14:textId="77777777" w:rsidR="0044370C" w:rsidRPr="00674A48" w:rsidRDefault="00FC0869">
      <w:pPr>
        <w:pBdr>
          <w:bottom w:val="single" w:sz="8" w:space="6" w:color="007B8A"/>
        </w:pBdr>
        <w:spacing w:before="360" w:after="160"/>
        <w:rPr>
          <w:color w:val="7030A0"/>
        </w:rPr>
      </w:pPr>
      <w:r w:rsidRPr="00674A48">
        <w:rPr>
          <w:b/>
          <w:bCs/>
          <w:color w:val="7030A0"/>
          <w:sz w:val="24"/>
          <w:szCs w:val="24"/>
        </w:rPr>
        <w:t>KEY PERFORMANCE INDICATORS</w:t>
      </w:r>
    </w:p>
    <w:p w14:paraId="3834677F" w14:textId="77777777" w:rsidR="0044370C" w:rsidRDefault="00FC0869" w:rsidP="00674A48">
      <w:pPr>
        <w:spacing w:before="80" w:after="80"/>
        <w:jc w:val="both"/>
      </w:pPr>
      <w:r>
        <w:t>Performance in this role will be assessed against the following indicators:</w:t>
      </w:r>
    </w:p>
    <w:p w14:paraId="4D7357B1" w14:textId="77777777" w:rsidR="0044370C" w:rsidRDefault="0044370C" w:rsidP="00674A48">
      <w:pPr>
        <w:spacing w:before="60"/>
        <w:jc w:val="both"/>
      </w:pPr>
    </w:p>
    <w:p w14:paraId="5CF7F1FF" w14:textId="77777777" w:rsidR="0044370C" w:rsidRDefault="00FC0869" w:rsidP="00674A48">
      <w:pPr>
        <w:pStyle w:val="ListParagraph"/>
        <w:numPr>
          <w:ilvl w:val="0"/>
          <w:numId w:val="2"/>
        </w:numPr>
        <w:spacing w:before="60" w:after="60"/>
        <w:jc w:val="both"/>
      </w:pPr>
      <w:r>
        <w:t>100% of OHTs hold current competency sign-off before independent clinical practice commences.</w:t>
      </w:r>
    </w:p>
    <w:p w14:paraId="2F0BB587" w14:textId="77777777" w:rsidR="0044370C" w:rsidRDefault="00FC0869" w:rsidP="00674A48">
      <w:pPr>
        <w:pStyle w:val="ListParagraph"/>
        <w:numPr>
          <w:ilvl w:val="0"/>
          <w:numId w:val="2"/>
        </w:numPr>
        <w:spacing w:before="60" w:after="60"/>
        <w:jc w:val="both"/>
      </w:pPr>
      <w:r>
        <w:t>Monthly clinical audits completed for all team members within the required timeframe, with improvement actions recorded and tracked.</w:t>
      </w:r>
    </w:p>
    <w:p w14:paraId="6F3FD97A" w14:textId="77777777" w:rsidR="0044370C" w:rsidRDefault="00FC0869" w:rsidP="00674A48">
      <w:pPr>
        <w:pStyle w:val="ListParagraph"/>
        <w:numPr>
          <w:ilvl w:val="0"/>
          <w:numId w:val="2"/>
        </w:numPr>
        <w:spacing w:before="60" w:after="60"/>
        <w:jc w:val="both"/>
      </w:pPr>
      <w:r>
        <w:t>All complaints involving OHTs acknowledged, investigated, and resolved within the instant reporting process timescales.</w:t>
      </w:r>
    </w:p>
    <w:p w14:paraId="7F870A90" w14:textId="77777777" w:rsidR="0044370C" w:rsidRDefault="00FC0869" w:rsidP="00674A48">
      <w:pPr>
        <w:pStyle w:val="ListParagraph"/>
        <w:numPr>
          <w:ilvl w:val="0"/>
          <w:numId w:val="2"/>
        </w:numPr>
        <w:spacing w:before="60" w:after="60"/>
        <w:jc w:val="both"/>
      </w:pPr>
      <w:r>
        <w:t>All mandatory and role-specific e-learning completed by OHTs within the ±1 month tolerance.</w:t>
      </w:r>
    </w:p>
    <w:p w14:paraId="7AAD3038" w14:textId="77777777" w:rsidR="0044370C" w:rsidRDefault="00FC0869" w:rsidP="00674A48">
      <w:pPr>
        <w:pStyle w:val="ListParagraph"/>
        <w:numPr>
          <w:ilvl w:val="0"/>
          <w:numId w:val="2"/>
        </w:numPr>
        <w:spacing w:before="60" w:after="60"/>
        <w:jc w:val="both"/>
      </w:pPr>
      <w:r>
        <w:t>All checklists (equipment, stock, vehicle, personal alarm) submitted, reviewed, and filed monthly with no unresolved issues impacting clinic delivery.</w:t>
      </w:r>
    </w:p>
    <w:p w14:paraId="611FC290" w14:textId="77777777" w:rsidR="0044370C" w:rsidRDefault="00FC0869" w:rsidP="00674A48">
      <w:pPr>
        <w:pStyle w:val="ListParagraph"/>
        <w:numPr>
          <w:ilvl w:val="0"/>
          <w:numId w:val="2"/>
        </w:numPr>
        <w:spacing w:before="60" w:after="60"/>
        <w:jc w:val="both"/>
      </w:pPr>
      <w:r>
        <w:t>SOPs and policy documents reviewed and updated in line with the Head of Nursing's schedule, with team briefings completed and evidenced.</w:t>
      </w:r>
    </w:p>
    <w:p w14:paraId="1A77EFA6" w14:textId="77777777" w:rsidR="0044370C" w:rsidRDefault="00FC0869" w:rsidP="00674A48">
      <w:pPr>
        <w:pStyle w:val="ListParagraph"/>
        <w:numPr>
          <w:ilvl w:val="0"/>
          <w:numId w:val="2"/>
        </w:numPr>
        <w:spacing w:before="60" w:after="60"/>
        <w:jc w:val="both"/>
      </w:pPr>
      <w:r>
        <w:t>All team expenses and additional hours claims submitted by the 5th of each month.</w:t>
      </w:r>
    </w:p>
    <w:p w14:paraId="2FF8FB90" w14:textId="77777777" w:rsidR="0044370C" w:rsidRDefault="00FC0869" w:rsidP="00674A48">
      <w:pPr>
        <w:pStyle w:val="ListParagraph"/>
        <w:numPr>
          <w:ilvl w:val="0"/>
          <w:numId w:val="2"/>
        </w:numPr>
        <w:spacing w:before="60" w:after="60"/>
        <w:jc w:val="both"/>
      </w:pPr>
      <w:r>
        <w:t>Monthly one-to-one meetings held with all direct reports, notes recorded and uploaded.</w:t>
      </w:r>
    </w:p>
    <w:p w14:paraId="7DD790A3" w14:textId="64A21181" w:rsidR="0044370C" w:rsidRDefault="00674A48" w:rsidP="00674A48">
      <w:pPr>
        <w:pStyle w:val="ListParagraph"/>
        <w:numPr>
          <w:ilvl w:val="0"/>
          <w:numId w:val="2"/>
        </w:numPr>
        <w:spacing w:before="60" w:after="60"/>
        <w:jc w:val="both"/>
      </w:pPr>
      <w:r>
        <w:t>A</w:t>
      </w:r>
      <w:r w:rsidR="00FC0869">
        <w:t>ppraisals completed within stated deadlines at mid-year and year-end.</w:t>
      </w:r>
    </w:p>
    <w:p w14:paraId="51D4A870" w14:textId="70290FCE" w:rsidR="0044370C" w:rsidRDefault="00FC0869" w:rsidP="00674A48">
      <w:pPr>
        <w:pStyle w:val="ListParagraph"/>
        <w:numPr>
          <w:ilvl w:val="0"/>
          <w:numId w:val="2"/>
        </w:numPr>
        <w:spacing w:before="60" w:after="60"/>
        <w:jc w:val="both"/>
      </w:pPr>
      <w:r>
        <w:t xml:space="preserve">Annual leave actively managed so entitlement is taken; </w:t>
      </w:r>
      <w:r w:rsidR="00674A48">
        <w:t>reducing impact on the operational demands of the business</w:t>
      </w:r>
      <w:r>
        <w:t>.</w:t>
      </w:r>
    </w:p>
    <w:p w14:paraId="664EA7D4" w14:textId="77777777" w:rsidR="0044370C" w:rsidRDefault="00FC0869" w:rsidP="00674A48">
      <w:pPr>
        <w:pStyle w:val="ListParagraph"/>
        <w:numPr>
          <w:ilvl w:val="0"/>
          <w:numId w:val="2"/>
        </w:numPr>
        <w:spacing w:before="60" w:after="60"/>
        <w:jc w:val="both"/>
      </w:pPr>
      <w:r>
        <w:t>Team utilisation maximised; contingency plans in place for all planned and unplanned absences with no clinic cancellations without prior escalation.</w:t>
      </w:r>
    </w:p>
    <w:p w14:paraId="195037CF" w14:textId="77777777" w:rsidR="0044370C" w:rsidRPr="00674A48" w:rsidRDefault="00FC0869">
      <w:pPr>
        <w:pBdr>
          <w:bottom w:val="single" w:sz="8" w:space="6" w:color="007B8A"/>
        </w:pBdr>
        <w:spacing w:before="360" w:after="160"/>
        <w:rPr>
          <w:color w:val="7030A0"/>
        </w:rPr>
      </w:pPr>
      <w:r w:rsidRPr="00674A48">
        <w:rPr>
          <w:b/>
          <w:bCs/>
          <w:color w:val="7030A0"/>
          <w:sz w:val="24"/>
          <w:szCs w:val="24"/>
        </w:rPr>
        <w:t>OTHER REQUIREMENTS</w:t>
      </w:r>
    </w:p>
    <w:p w14:paraId="3579C103" w14:textId="77777777" w:rsidR="0044370C" w:rsidRDefault="00FC0869" w:rsidP="00674A48">
      <w:pPr>
        <w:pStyle w:val="ListParagraph"/>
        <w:numPr>
          <w:ilvl w:val="0"/>
          <w:numId w:val="2"/>
        </w:numPr>
        <w:spacing w:before="60" w:after="60"/>
        <w:jc w:val="both"/>
      </w:pPr>
      <w:r>
        <w:t>Willingness to travel to client sites across the region, including attending sites personally to deliver clinical cover in contingency situations.</w:t>
      </w:r>
    </w:p>
    <w:p w14:paraId="1AEE6E81" w14:textId="77777777" w:rsidR="0044370C" w:rsidRDefault="00FC0869" w:rsidP="00674A48">
      <w:pPr>
        <w:pStyle w:val="ListParagraph"/>
        <w:numPr>
          <w:ilvl w:val="0"/>
          <w:numId w:val="2"/>
        </w:numPr>
        <w:spacing w:before="60" w:after="60"/>
        <w:jc w:val="both"/>
      </w:pPr>
      <w:r>
        <w:t>Ability to maintain a regular personal clinical caseload alongside management responsibilities.</w:t>
      </w:r>
    </w:p>
    <w:p w14:paraId="4811F93E" w14:textId="77777777" w:rsidR="0044370C" w:rsidRDefault="00FC0869" w:rsidP="00674A48">
      <w:pPr>
        <w:pStyle w:val="ListParagraph"/>
        <w:numPr>
          <w:ilvl w:val="0"/>
          <w:numId w:val="2"/>
        </w:numPr>
        <w:spacing w:before="60" w:after="60"/>
        <w:jc w:val="both"/>
      </w:pPr>
      <w:r>
        <w:t>Flexibility to manage operational demands across a field-based team, which may occasionally require work outside standard contracted hours.</w:t>
      </w:r>
    </w:p>
    <w:p w14:paraId="7493AA12" w14:textId="77777777" w:rsidR="0044370C" w:rsidRDefault="00FC0869" w:rsidP="00674A48">
      <w:pPr>
        <w:pStyle w:val="ListParagraph"/>
        <w:numPr>
          <w:ilvl w:val="0"/>
          <w:numId w:val="2"/>
        </w:numPr>
        <w:spacing w:before="60" w:after="60"/>
        <w:jc w:val="both"/>
      </w:pPr>
      <w:r>
        <w:t>This job description is not exhaustive. The post-holder may be required to undertake other duties commensurate with the grade and scope of the role as directed by their line manager.</w:t>
      </w:r>
    </w:p>
    <w:p w14:paraId="2F570218" w14:textId="77777777" w:rsidR="0044370C" w:rsidRDefault="0044370C">
      <w:pPr>
        <w:spacing w:before="120"/>
      </w:pPr>
    </w:p>
    <w:sectPr w:rsidR="0044370C">
      <w:headerReference w:type="default" r:id="rId7"/>
      <w:footerReference w:type="default" r:id="rId8"/>
      <w:pgSz w:w="11906" w:h="16838"/>
      <w:pgMar w:top="1200" w:right="1300" w:bottom="1300" w:left="13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808E6" w14:textId="77777777" w:rsidR="00FC0869" w:rsidRDefault="00FC0869">
      <w:r>
        <w:separator/>
      </w:r>
    </w:p>
  </w:endnote>
  <w:endnote w:type="continuationSeparator" w:id="0">
    <w:p w14:paraId="3BC563D2" w14:textId="77777777" w:rsidR="00FC0869" w:rsidRDefault="00FC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50CA" w14:textId="77777777" w:rsidR="0044370C" w:rsidRDefault="00FC0869">
    <w:pPr>
      <w:pBdr>
        <w:top w:val="single" w:sz="4" w:space="4" w:color="007B8A"/>
      </w:pBdr>
      <w:spacing w:before="100"/>
      <w:jc w:val="right"/>
    </w:pPr>
    <w:r>
      <w:rPr>
        <w:color w:val="666666"/>
        <w:sz w:val="18"/>
        <w:szCs w:val="18"/>
      </w:rPr>
      <w:t xml:space="preserve">Confidential   |   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EFE75" w14:textId="77777777" w:rsidR="00FC0869" w:rsidRDefault="00FC0869">
      <w:r>
        <w:separator/>
      </w:r>
    </w:p>
  </w:footnote>
  <w:footnote w:type="continuationSeparator" w:id="0">
    <w:p w14:paraId="221808AA" w14:textId="77777777" w:rsidR="00FC0869" w:rsidRDefault="00FC0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B3DC" w14:textId="491B5261" w:rsidR="0044370C" w:rsidRDefault="00FC0869" w:rsidP="009F5AE3">
    <w:pPr>
      <w:pBdr>
        <w:bottom w:val="single" w:sz="6" w:space="5" w:color="007B8A"/>
      </w:pBdr>
      <w:spacing w:after="100"/>
      <w:jc w:val="right"/>
    </w:pPr>
    <w:r w:rsidRPr="009F5AE3">
      <w:rPr>
        <w:b/>
        <w:bCs/>
        <w:color w:val="7030A0"/>
        <w:sz w:val="22"/>
        <w:szCs w:val="22"/>
      </w:rPr>
      <w:t>JOB DESCRIPTION</w:t>
    </w:r>
    <w:r w:rsidRPr="009F5AE3">
      <w:rPr>
        <w:color w:val="7030A0"/>
        <w:sz w:val="19"/>
        <w:szCs w:val="19"/>
      </w:rPr>
      <w:t xml:space="preserve">   |   </w:t>
    </w:r>
    <w:r>
      <w:rPr>
        <w:color w:val="666666"/>
        <w:sz w:val="19"/>
        <w:szCs w:val="19"/>
      </w:rPr>
      <w:t xml:space="preserve">Occupational Health Technician Manager / </w:t>
    </w:r>
    <w:r>
      <w:rPr>
        <w:color w:val="666666"/>
        <w:sz w:val="19"/>
        <w:szCs w:val="19"/>
      </w:rPr>
      <w:t>Leader</w:t>
    </w:r>
    <w:r w:rsidR="009F5AE3">
      <w:rPr>
        <w:color w:val="666666"/>
        <w:sz w:val="19"/>
        <w:szCs w:val="19"/>
      </w:rPr>
      <w:t xml:space="preserve">                </w:t>
    </w:r>
    <w:r w:rsidR="009F5AE3">
      <w:rPr>
        <w:i/>
        <w:iCs/>
        <w:noProof/>
        <w:color w:val="888888"/>
        <w:sz w:val="18"/>
        <w:szCs w:val="18"/>
      </w:rPr>
      <w:drawing>
        <wp:inline distT="0" distB="0" distL="0" distR="0" wp14:anchorId="201EAD74" wp14:editId="53F104B8">
          <wp:extent cx="1134110" cy="518160"/>
          <wp:effectExtent l="0" t="0" r="8890" b="0"/>
          <wp:docPr id="961509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18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D1549"/>
    <w:multiLevelType w:val="hybridMultilevel"/>
    <w:tmpl w:val="8D14C326"/>
    <w:lvl w:ilvl="0" w:tplc="FB688AC4">
      <w:start w:val="1"/>
      <w:numFmt w:val="bullet"/>
      <w:lvlText w:val="●"/>
      <w:lvlJc w:val="left"/>
      <w:pPr>
        <w:ind w:left="720" w:hanging="360"/>
      </w:pPr>
    </w:lvl>
    <w:lvl w:ilvl="1" w:tplc="2BCA2ABA">
      <w:start w:val="1"/>
      <w:numFmt w:val="bullet"/>
      <w:lvlText w:val="○"/>
      <w:lvlJc w:val="left"/>
      <w:pPr>
        <w:ind w:left="1440" w:hanging="360"/>
      </w:pPr>
    </w:lvl>
    <w:lvl w:ilvl="2" w:tplc="8A182B12">
      <w:start w:val="1"/>
      <w:numFmt w:val="bullet"/>
      <w:lvlText w:val="■"/>
      <w:lvlJc w:val="left"/>
      <w:pPr>
        <w:ind w:left="2160" w:hanging="360"/>
      </w:pPr>
    </w:lvl>
    <w:lvl w:ilvl="3" w:tplc="AC5CD308">
      <w:start w:val="1"/>
      <w:numFmt w:val="bullet"/>
      <w:lvlText w:val="●"/>
      <w:lvlJc w:val="left"/>
      <w:pPr>
        <w:ind w:left="2880" w:hanging="360"/>
      </w:pPr>
    </w:lvl>
    <w:lvl w:ilvl="4" w:tplc="5A225C44">
      <w:start w:val="1"/>
      <w:numFmt w:val="bullet"/>
      <w:lvlText w:val="○"/>
      <w:lvlJc w:val="left"/>
      <w:pPr>
        <w:ind w:left="3600" w:hanging="360"/>
      </w:pPr>
    </w:lvl>
    <w:lvl w:ilvl="5" w:tplc="FD4AB36C">
      <w:start w:val="1"/>
      <w:numFmt w:val="bullet"/>
      <w:lvlText w:val="■"/>
      <w:lvlJc w:val="left"/>
      <w:pPr>
        <w:ind w:left="4320" w:hanging="360"/>
      </w:pPr>
    </w:lvl>
    <w:lvl w:ilvl="6" w:tplc="ABE4DE20">
      <w:start w:val="1"/>
      <w:numFmt w:val="bullet"/>
      <w:lvlText w:val="●"/>
      <w:lvlJc w:val="left"/>
      <w:pPr>
        <w:ind w:left="5040" w:hanging="360"/>
      </w:pPr>
    </w:lvl>
    <w:lvl w:ilvl="7" w:tplc="F61E917C">
      <w:start w:val="1"/>
      <w:numFmt w:val="bullet"/>
      <w:lvlText w:val="●"/>
      <w:lvlJc w:val="left"/>
      <w:pPr>
        <w:ind w:left="5760" w:hanging="360"/>
      </w:pPr>
    </w:lvl>
    <w:lvl w:ilvl="8" w:tplc="E2125844">
      <w:start w:val="1"/>
      <w:numFmt w:val="bullet"/>
      <w:lvlText w:val="●"/>
      <w:lvlJc w:val="left"/>
      <w:pPr>
        <w:ind w:left="6480" w:hanging="360"/>
      </w:pPr>
    </w:lvl>
  </w:abstractNum>
  <w:abstractNum w:abstractNumId="1" w15:restartNumberingAfterBreak="0">
    <w:nsid w:val="3C2C33F5"/>
    <w:multiLevelType w:val="hybridMultilevel"/>
    <w:tmpl w:val="FBA0D616"/>
    <w:lvl w:ilvl="0" w:tplc="CBF29CB6">
      <w:start w:val="1"/>
      <w:numFmt w:val="bullet"/>
      <w:lvlText w:val="–"/>
      <w:lvlJc w:val="left"/>
      <w:pPr>
        <w:ind w:left="640" w:hanging="320"/>
      </w:pPr>
    </w:lvl>
    <w:lvl w:ilvl="1" w:tplc="8E1C6940">
      <w:numFmt w:val="decimal"/>
      <w:lvlText w:val=""/>
      <w:lvlJc w:val="left"/>
    </w:lvl>
    <w:lvl w:ilvl="2" w:tplc="376EC0A0">
      <w:numFmt w:val="decimal"/>
      <w:lvlText w:val=""/>
      <w:lvlJc w:val="left"/>
    </w:lvl>
    <w:lvl w:ilvl="3" w:tplc="2D625928">
      <w:numFmt w:val="decimal"/>
      <w:lvlText w:val=""/>
      <w:lvlJc w:val="left"/>
    </w:lvl>
    <w:lvl w:ilvl="4" w:tplc="B3EE42F2">
      <w:numFmt w:val="decimal"/>
      <w:lvlText w:val=""/>
      <w:lvlJc w:val="left"/>
    </w:lvl>
    <w:lvl w:ilvl="5" w:tplc="92322EC8">
      <w:numFmt w:val="decimal"/>
      <w:lvlText w:val=""/>
      <w:lvlJc w:val="left"/>
    </w:lvl>
    <w:lvl w:ilvl="6" w:tplc="1972A506">
      <w:numFmt w:val="decimal"/>
      <w:lvlText w:val=""/>
      <w:lvlJc w:val="left"/>
    </w:lvl>
    <w:lvl w:ilvl="7" w:tplc="4D483FDA">
      <w:numFmt w:val="decimal"/>
      <w:lvlText w:val=""/>
      <w:lvlJc w:val="left"/>
    </w:lvl>
    <w:lvl w:ilvl="8" w:tplc="DB0298B4">
      <w:numFmt w:val="decimal"/>
      <w:lvlText w:val=""/>
      <w:lvlJc w:val="left"/>
    </w:lvl>
  </w:abstractNum>
  <w:num w:numId="1" w16cid:durableId="863786856">
    <w:abstractNumId w:val="0"/>
    <w:lvlOverride w:ilvl="0">
      <w:startOverride w:val="1"/>
    </w:lvlOverride>
  </w:num>
  <w:num w:numId="2" w16cid:durableId="40903852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70C"/>
    <w:rsid w:val="0044370C"/>
    <w:rsid w:val="00470E54"/>
    <w:rsid w:val="006155FA"/>
    <w:rsid w:val="00674A48"/>
    <w:rsid w:val="009F5AE3"/>
    <w:rsid w:val="00FC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E77A5"/>
  <w15:docId w15:val="{16D0745B-3D37-48BE-9034-028979EB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F5AE3"/>
    <w:pPr>
      <w:tabs>
        <w:tab w:val="center" w:pos="4513"/>
        <w:tab w:val="right" w:pos="9026"/>
      </w:tabs>
    </w:pPr>
  </w:style>
  <w:style w:type="character" w:customStyle="1" w:styleId="HeaderChar">
    <w:name w:val="Header Char"/>
    <w:basedOn w:val="DefaultParagraphFont"/>
    <w:link w:val="Header"/>
    <w:uiPriority w:val="99"/>
    <w:rsid w:val="009F5AE3"/>
  </w:style>
  <w:style w:type="paragraph" w:styleId="Footer">
    <w:name w:val="footer"/>
    <w:basedOn w:val="Normal"/>
    <w:link w:val="FooterChar"/>
    <w:uiPriority w:val="99"/>
    <w:unhideWhenUsed/>
    <w:rsid w:val="009F5AE3"/>
    <w:pPr>
      <w:tabs>
        <w:tab w:val="center" w:pos="4513"/>
        <w:tab w:val="right" w:pos="9026"/>
      </w:tabs>
    </w:pPr>
  </w:style>
  <w:style w:type="character" w:customStyle="1" w:styleId="FooterChar">
    <w:name w:val="Footer Char"/>
    <w:basedOn w:val="DefaultParagraphFont"/>
    <w:link w:val="Footer"/>
    <w:uiPriority w:val="99"/>
    <w:rsid w:val="009F5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2021</Words>
  <Characters>11523</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Charlotte Pasiut</cp:lastModifiedBy>
  <cp:revision>2</cp:revision>
  <dcterms:created xsi:type="dcterms:W3CDTF">2026-05-22T09:14:00Z</dcterms:created>
  <dcterms:modified xsi:type="dcterms:W3CDTF">2026-05-22T09:14:00Z</dcterms:modified>
</cp:coreProperties>
</file>