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74256" w14:textId="77777777" w:rsidR="00013928" w:rsidRPr="00013928" w:rsidRDefault="00013928" w:rsidP="00013928">
      <w:pPr>
        <w:pStyle w:val="Heading1"/>
        <w:rPr>
          <w:rFonts w:ascii="Segoe UI" w:hAnsi="Segoe UI" w:cs="Segoe UI"/>
          <w:color w:val="auto"/>
          <w:sz w:val="24"/>
          <w:szCs w:val="24"/>
        </w:rPr>
      </w:pPr>
    </w:p>
    <w:p w14:paraId="26745216" w14:textId="027275CA" w:rsidR="00676470" w:rsidRPr="00013928" w:rsidRDefault="00F30F37" w:rsidP="00013928">
      <w:pPr>
        <w:pStyle w:val="Heading1"/>
        <w:jc w:val="center"/>
        <w:rPr>
          <w:rFonts w:ascii="Segoe UI" w:hAnsi="Segoe UI" w:cs="Segoe UI"/>
          <w:b/>
          <w:bCs/>
          <w:color w:val="auto"/>
          <w:sz w:val="32"/>
          <w:szCs w:val="32"/>
        </w:rPr>
      </w:pPr>
      <w:r>
        <w:rPr>
          <w:rFonts w:ascii="Segoe UI" w:hAnsi="Segoe UI" w:cs="Segoe UI"/>
          <w:b/>
          <w:bCs/>
          <w:color w:val="auto"/>
          <w:sz w:val="32"/>
          <w:szCs w:val="32"/>
        </w:rPr>
        <w:t>Member</w:t>
      </w:r>
      <w:r w:rsidR="00E00871" w:rsidRPr="00013928">
        <w:rPr>
          <w:rFonts w:ascii="Segoe UI" w:hAnsi="Segoe UI" w:cs="Segoe UI"/>
          <w:b/>
          <w:bCs/>
          <w:color w:val="auto"/>
          <w:sz w:val="32"/>
          <w:szCs w:val="32"/>
        </w:rPr>
        <w:t xml:space="preserve"> Person Specification</w:t>
      </w:r>
    </w:p>
    <w:p w14:paraId="6C0E1DE5" w14:textId="77777777" w:rsidR="00676470" w:rsidRPr="00CF6884" w:rsidRDefault="00E00871">
      <w:pPr>
        <w:pStyle w:val="Heading2"/>
        <w:rPr>
          <w:rFonts w:ascii="Segoe UI" w:hAnsi="Segoe UI" w:cs="Segoe UI"/>
          <w:b/>
          <w:bCs/>
          <w:color w:val="auto"/>
          <w:sz w:val="22"/>
          <w:szCs w:val="22"/>
        </w:rPr>
      </w:pPr>
      <w:r w:rsidRPr="00CF6884">
        <w:rPr>
          <w:rFonts w:ascii="Segoe UI" w:hAnsi="Segoe UI" w:cs="Segoe UI"/>
          <w:b/>
          <w:bCs/>
          <w:color w:val="auto"/>
          <w:sz w:val="22"/>
          <w:szCs w:val="22"/>
        </w:rPr>
        <w:t>Overview</w:t>
      </w:r>
    </w:p>
    <w:p w14:paraId="236EF575" w14:textId="77E77D0E" w:rsidR="003657D8" w:rsidRPr="00CF6884" w:rsidRDefault="00F30F37">
      <w:pPr>
        <w:rPr>
          <w:rFonts w:ascii="Segoe UI" w:hAnsi="Segoe UI" w:cs="Segoe UI"/>
          <w:sz w:val="22"/>
          <w:szCs w:val="22"/>
        </w:rPr>
      </w:pPr>
      <w:r w:rsidRPr="00CF6884">
        <w:rPr>
          <w:rFonts w:ascii="Segoe UI" w:hAnsi="Segoe UI" w:cs="Segoe UI"/>
          <w:sz w:val="22"/>
          <w:szCs w:val="22"/>
        </w:rPr>
        <w:t>In our Multi-Academy Trust</w:t>
      </w:r>
      <w:r w:rsidR="00E00871" w:rsidRPr="00CF6884">
        <w:rPr>
          <w:rFonts w:ascii="Segoe UI" w:hAnsi="Segoe UI" w:cs="Segoe UI"/>
          <w:sz w:val="22"/>
          <w:szCs w:val="22"/>
        </w:rPr>
        <w:t xml:space="preserve"> </w:t>
      </w:r>
      <w:r w:rsidRPr="00CF6884">
        <w:rPr>
          <w:rFonts w:ascii="Segoe UI" w:hAnsi="Segoe UI" w:cs="Segoe UI"/>
          <w:sz w:val="22"/>
          <w:szCs w:val="22"/>
        </w:rPr>
        <w:t>Members</w:t>
      </w:r>
      <w:r w:rsidR="00E00871" w:rsidRPr="00CF6884">
        <w:rPr>
          <w:rFonts w:ascii="Segoe UI" w:hAnsi="Segoe UI" w:cs="Segoe UI"/>
          <w:sz w:val="22"/>
          <w:szCs w:val="22"/>
        </w:rPr>
        <w:t xml:space="preserve"> play a vital </w:t>
      </w:r>
      <w:r w:rsidRPr="00CF6884">
        <w:rPr>
          <w:rFonts w:ascii="Segoe UI" w:hAnsi="Segoe UI" w:cs="Segoe UI"/>
          <w:sz w:val="22"/>
          <w:szCs w:val="22"/>
        </w:rPr>
        <w:t>oversight</w:t>
      </w:r>
      <w:r w:rsidR="00E00871" w:rsidRPr="00CF6884">
        <w:rPr>
          <w:rFonts w:ascii="Segoe UI" w:hAnsi="Segoe UI" w:cs="Segoe UI"/>
          <w:sz w:val="22"/>
          <w:szCs w:val="22"/>
        </w:rPr>
        <w:t xml:space="preserve"> role</w:t>
      </w:r>
      <w:r w:rsidR="00533F82" w:rsidRPr="00CF6884">
        <w:rPr>
          <w:rFonts w:ascii="Segoe UI" w:hAnsi="Segoe UI" w:cs="Segoe UI"/>
          <w:sz w:val="22"/>
          <w:szCs w:val="22"/>
        </w:rPr>
        <w:t>.</w:t>
      </w:r>
      <w:r w:rsidR="00E00871" w:rsidRPr="00CF6884">
        <w:rPr>
          <w:rFonts w:ascii="Segoe UI" w:hAnsi="Segoe UI" w:cs="Segoe UI"/>
          <w:sz w:val="22"/>
          <w:szCs w:val="22"/>
        </w:rPr>
        <w:t xml:space="preserve"> </w:t>
      </w:r>
      <w:r w:rsidR="00533F82" w:rsidRPr="00CF6884">
        <w:rPr>
          <w:rFonts w:ascii="Segoe UI" w:hAnsi="Segoe UI" w:cs="Segoe UI"/>
          <w:sz w:val="22"/>
          <w:szCs w:val="22"/>
        </w:rPr>
        <w:t>As</w:t>
      </w:r>
      <w:r w:rsidR="00533F82" w:rsidRPr="00CF6884">
        <w:rPr>
          <w:rFonts w:ascii="Segoe UI" w:hAnsi="Segoe UI" w:cs="Segoe UI"/>
          <w:sz w:val="22"/>
          <w:szCs w:val="22"/>
        </w:rPr>
        <w:t xml:space="preserve"> the guardians of the governance,</w:t>
      </w:r>
      <w:r w:rsidR="00B84858" w:rsidRPr="00CF6884">
        <w:rPr>
          <w:rFonts w:ascii="Segoe UI" w:hAnsi="Segoe UI" w:cs="Segoe UI"/>
          <w:sz w:val="22"/>
          <w:szCs w:val="22"/>
        </w:rPr>
        <w:t xml:space="preserve"> </w:t>
      </w:r>
      <w:r w:rsidR="00533F82" w:rsidRPr="00CF6884">
        <w:rPr>
          <w:rFonts w:ascii="Segoe UI" w:hAnsi="Segoe UI" w:cs="Segoe UI"/>
          <w:sz w:val="22"/>
          <w:szCs w:val="22"/>
        </w:rPr>
        <w:t>the</w:t>
      </w:r>
      <w:r w:rsidR="00B84858" w:rsidRPr="00CF6884">
        <w:rPr>
          <w:rFonts w:ascii="Segoe UI" w:hAnsi="Segoe UI" w:cs="Segoe UI"/>
          <w:sz w:val="22"/>
          <w:szCs w:val="22"/>
        </w:rPr>
        <w:t xml:space="preserve"> Members</w:t>
      </w:r>
      <w:r w:rsidR="00533F82" w:rsidRPr="00CF6884">
        <w:rPr>
          <w:rFonts w:ascii="Segoe UI" w:hAnsi="Segoe UI" w:cs="Segoe UI"/>
          <w:sz w:val="22"/>
          <w:szCs w:val="22"/>
        </w:rPr>
        <w:t xml:space="preserve"> </w:t>
      </w:r>
      <w:r w:rsidR="00B84858" w:rsidRPr="00CF6884">
        <w:rPr>
          <w:rFonts w:ascii="Segoe UI" w:hAnsi="Segoe UI" w:cs="Segoe UI"/>
          <w:sz w:val="22"/>
          <w:szCs w:val="22"/>
        </w:rPr>
        <w:t>help to ensure</w:t>
      </w:r>
      <w:r w:rsidR="00533F82" w:rsidRPr="00CF6884">
        <w:rPr>
          <w:rFonts w:ascii="Segoe UI" w:hAnsi="Segoe UI" w:cs="Segoe UI"/>
          <w:sz w:val="22"/>
          <w:szCs w:val="22"/>
        </w:rPr>
        <w:t xml:space="preserve"> that the standard of governance across the Trust is high and hold the Trust Board to account if there are any concerns. </w:t>
      </w:r>
    </w:p>
    <w:p w14:paraId="7F1DEAB7" w14:textId="16FECA14" w:rsidR="004871DB" w:rsidRPr="00CF6884" w:rsidRDefault="004871DB" w:rsidP="004871DB">
      <w:pPr>
        <w:rPr>
          <w:rFonts w:ascii="Segoe UI" w:hAnsi="Segoe UI" w:cs="Segoe UI"/>
          <w:sz w:val="22"/>
          <w:szCs w:val="22"/>
        </w:rPr>
      </w:pPr>
      <w:r w:rsidRPr="00CF6884">
        <w:rPr>
          <w:rFonts w:ascii="Segoe UI" w:hAnsi="Segoe UI" w:cs="Segoe UI"/>
          <w:sz w:val="22"/>
          <w:szCs w:val="22"/>
        </w:rPr>
        <w:t>It is the Board of Trustees</w:t>
      </w:r>
      <w:r w:rsidRPr="00CF6884">
        <w:rPr>
          <w:rFonts w:ascii="Segoe UI" w:hAnsi="Segoe UI" w:cs="Segoe UI"/>
          <w:sz w:val="22"/>
          <w:szCs w:val="22"/>
        </w:rPr>
        <w:t xml:space="preserve"> </w:t>
      </w:r>
      <w:r w:rsidR="005A7944">
        <w:rPr>
          <w:rFonts w:ascii="Segoe UI" w:hAnsi="Segoe UI" w:cs="Segoe UI"/>
          <w:sz w:val="22"/>
          <w:szCs w:val="22"/>
        </w:rPr>
        <w:t xml:space="preserve">who </w:t>
      </w:r>
      <w:r w:rsidRPr="00CF6884">
        <w:rPr>
          <w:rFonts w:ascii="Segoe UI" w:hAnsi="Segoe UI" w:cs="Segoe UI"/>
          <w:sz w:val="22"/>
          <w:szCs w:val="22"/>
        </w:rPr>
        <w:t>as the responsible body</w:t>
      </w:r>
      <w:r w:rsidR="005A7944">
        <w:rPr>
          <w:rFonts w:ascii="Segoe UI" w:hAnsi="Segoe UI" w:cs="Segoe UI"/>
          <w:sz w:val="22"/>
          <w:szCs w:val="22"/>
        </w:rPr>
        <w:t xml:space="preserve"> </w:t>
      </w:r>
      <w:r w:rsidRPr="00CF6884">
        <w:rPr>
          <w:rFonts w:ascii="Segoe UI" w:hAnsi="Segoe UI" w:cs="Segoe UI"/>
          <w:sz w:val="22"/>
          <w:szCs w:val="22"/>
        </w:rPr>
        <w:t>are the Trust’s key decision makers, and the Member position is often described as ‘eyes on, hands off’.</w:t>
      </w:r>
    </w:p>
    <w:p w14:paraId="584ECE50" w14:textId="77777777" w:rsidR="004871DB" w:rsidRPr="00CF6884" w:rsidRDefault="004871DB" w:rsidP="004871DB">
      <w:pPr>
        <w:rPr>
          <w:rFonts w:ascii="Segoe UI" w:hAnsi="Segoe UI" w:cs="Segoe UI"/>
          <w:b/>
          <w:bCs/>
          <w:sz w:val="22"/>
          <w:szCs w:val="22"/>
        </w:rPr>
      </w:pPr>
      <w:r w:rsidRPr="00CF6884">
        <w:rPr>
          <w:rFonts w:ascii="Segoe UI" w:hAnsi="Segoe UI" w:cs="Segoe UI"/>
          <w:sz w:val="22"/>
          <w:szCs w:val="22"/>
        </w:rPr>
        <w:t>Whilst the Trustees are responsible for the business of the Trust and exercise all the powers of the Trust on a day-to-day basis, the Trustees are ultimately accountable to the Members. Every Multi Academy Trust has members who have a similar role to shareholders of a company limited by shares.</w:t>
      </w:r>
      <w:r w:rsidRPr="00CF6884">
        <w:rPr>
          <w:rFonts w:ascii="Segoe UI" w:hAnsi="Segoe UI" w:cs="Segoe UI"/>
          <w:b/>
          <w:bCs/>
          <w:sz w:val="22"/>
          <w:szCs w:val="22"/>
        </w:rPr>
        <w:t xml:space="preserve"> </w:t>
      </w:r>
    </w:p>
    <w:p w14:paraId="3AAB6380" w14:textId="6E373DE8" w:rsidR="007E53D6" w:rsidRPr="00013928" w:rsidRDefault="007E53D6" w:rsidP="004871DB">
      <w:pPr>
        <w:rPr>
          <w:rFonts w:ascii="Segoe UI" w:hAnsi="Segoe UI" w:cs="Segoe UI"/>
          <w:b/>
          <w:bCs/>
          <w:sz w:val="28"/>
          <w:szCs w:val="28"/>
        </w:rPr>
      </w:pPr>
      <w:r w:rsidRPr="00013928">
        <w:rPr>
          <w:rFonts w:ascii="Segoe UI" w:hAnsi="Segoe UI" w:cs="Segoe UI"/>
          <w:b/>
          <w:bCs/>
          <w:sz w:val="28"/>
          <w:szCs w:val="28"/>
        </w:rPr>
        <w:t>Key Responsibilities</w:t>
      </w:r>
    </w:p>
    <w:p w14:paraId="0E2BD4B2" w14:textId="77210247" w:rsidR="00CF6884" w:rsidRDefault="00CF6884" w:rsidP="00CF6884">
      <w:pPr>
        <w:pStyle w:val="Default"/>
        <w:rPr>
          <w:sz w:val="22"/>
          <w:szCs w:val="22"/>
        </w:rPr>
      </w:pPr>
      <w:r>
        <w:rPr>
          <w:sz w:val="22"/>
          <w:szCs w:val="22"/>
        </w:rPr>
        <w:t>The Members in our Trust</w:t>
      </w:r>
      <w:r>
        <w:rPr>
          <w:sz w:val="22"/>
          <w:szCs w:val="22"/>
        </w:rPr>
        <w:t xml:space="preserve">: </w:t>
      </w:r>
    </w:p>
    <w:p w14:paraId="01A09E21" w14:textId="77777777" w:rsidR="00361017" w:rsidRDefault="00CF6884" w:rsidP="00CF6884">
      <w:pPr>
        <w:pStyle w:val="Default"/>
        <w:numPr>
          <w:ilvl w:val="0"/>
          <w:numId w:val="12"/>
        </w:numPr>
        <w:rPr>
          <w:sz w:val="22"/>
          <w:szCs w:val="22"/>
        </w:rPr>
      </w:pPr>
      <w:r>
        <w:rPr>
          <w:sz w:val="22"/>
          <w:szCs w:val="22"/>
        </w:rPr>
        <w:t>are the subscribers to the memorandum of association (where they are founding members)</w:t>
      </w:r>
    </w:p>
    <w:p w14:paraId="58486D80" w14:textId="77777777" w:rsidR="00361017" w:rsidRDefault="00361017" w:rsidP="00CF6884">
      <w:pPr>
        <w:pStyle w:val="Default"/>
        <w:numPr>
          <w:ilvl w:val="0"/>
          <w:numId w:val="12"/>
        </w:numPr>
        <w:rPr>
          <w:sz w:val="22"/>
          <w:szCs w:val="22"/>
        </w:rPr>
      </w:pPr>
      <w:r>
        <w:rPr>
          <w:sz w:val="22"/>
          <w:szCs w:val="22"/>
        </w:rPr>
        <w:t>can</w:t>
      </w:r>
      <w:r w:rsidR="00CF6884" w:rsidRPr="00361017">
        <w:rPr>
          <w:sz w:val="22"/>
          <w:szCs w:val="22"/>
        </w:rPr>
        <w:t xml:space="preserve"> amend the Trust’s articles of association subject to any restrictions created by the funding agreement or charity law</w:t>
      </w:r>
    </w:p>
    <w:p w14:paraId="7F1BEE48" w14:textId="77777777" w:rsidR="00361017" w:rsidRDefault="00CF6884" w:rsidP="00CF6884">
      <w:pPr>
        <w:pStyle w:val="Default"/>
        <w:numPr>
          <w:ilvl w:val="0"/>
          <w:numId w:val="12"/>
        </w:numPr>
        <w:rPr>
          <w:sz w:val="22"/>
          <w:szCs w:val="22"/>
        </w:rPr>
      </w:pPr>
      <w:r w:rsidRPr="00361017">
        <w:rPr>
          <w:sz w:val="22"/>
          <w:szCs w:val="22"/>
        </w:rPr>
        <w:t>may, by special resolution, appoint new Members or remove existing Members</w:t>
      </w:r>
    </w:p>
    <w:p w14:paraId="624D6748" w14:textId="77777777" w:rsidR="00361017" w:rsidRDefault="00CF6884" w:rsidP="00361017">
      <w:pPr>
        <w:pStyle w:val="Default"/>
        <w:numPr>
          <w:ilvl w:val="0"/>
          <w:numId w:val="12"/>
        </w:numPr>
        <w:rPr>
          <w:sz w:val="22"/>
          <w:szCs w:val="22"/>
        </w:rPr>
      </w:pPr>
      <w:r w:rsidRPr="00361017">
        <w:rPr>
          <w:sz w:val="22"/>
          <w:szCs w:val="22"/>
        </w:rPr>
        <w:t xml:space="preserve">have powers to appoint Trustees as set out in the Trust’s articles of association and powers under the Companies Act 2006 to remove </w:t>
      </w:r>
      <w:r w:rsidR="00361017">
        <w:rPr>
          <w:sz w:val="22"/>
          <w:szCs w:val="22"/>
        </w:rPr>
        <w:t>T</w:t>
      </w:r>
      <w:r w:rsidRPr="00361017">
        <w:rPr>
          <w:sz w:val="22"/>
          <w:szCs w:val="22"/>
        </w:rPr>
        <w:t>rustees</w:t>
      </w:r>
    </w:p>
    <w:p w14:paraId="0C5F4BD3" w14:textId="77777777" w:rsidR="00361017" w:rsidRDefault="00CF6884" w:rsidP="00CF6884">
      <w:pPr>
        <w:pStyle w:val="Default"/>
        <w:numPr>
          <w:ilvl w:val="0"/>
          <w:numId w:val="12"/>
        </w:numPr>
        <w:rPr>
          <w:sz w:val="22"/>
          <w:szCs w:val="22"/>
        </w:rPr>
      </w:pPr>
      <w:r w:rsidRPr="00361017">
        <w:rPr>
          <w:sz w:val="22"/>
          <w:szCs w:val="22"/>
        </w:rPr>
        <w:t>may, by special resolution, issue direction to the Trustees to take a specific action</w:t>
      </w:r>
      <w:r w:rsidR="00361017">
        <w:rPr>
          <w:sz w:val="22"/>
          <w:szCs w:val="22"/>
        </w:rPr>
        <w:t xml:space="preserve"> where significant concerns arise</w:t>
      </w:r>
    </w:p>
    <w:p w14:paraId="01D40479" w14:textId="77777777" w:rsidR="00361017" w:rsidRDefault="00CF6884" w:rsidP="00CF6884">
      <w:pPr>
        <w:pStyle w:val="Default"/>
        <w:numPr>
          <w:ilvl w:val="0"/>
          <w:numId w:val="12"/>
        </w:numPr>
        <w:rPr>
          <w:sz w:val="22"/>
          <w:szCs w:val="22"/>
        </w:rPr>
      </w:pPr>
      <w:r w:rsidRPr="00361017">
        <w:rPr>
          <w:sz w:val="22"/>
          <w:szCs w:val="22"/>
        </w:rPr>
        <w:t>appoint the Trust’s external auditors and receive (but do not sign) the audited annual report and accounts (subject to the Companies Act)</w:t>
      </w:r>
    </w:p>
    <w:p w14:paraId="13E0FCB2" w14:textId="5A9E313E" w:rsidR="00CF6884" w:rsidRPr="00361017" w:rsidRDefault="00CF6884" w:rsidP="00CF6884">
      <w:pPr>
        <w:pStyle w:val="Default"/>
        <w:numPr>
          <w:ilvl w:val="0"/>
          <w:numId w:val="12"/>
        </w:numPr>
        <w:rPr>
          <w:sz w:val="22"/>
          <w:szCs w:val="22"/>
        </w:rPr>
      </w:pPr>
      <w:r w:rsidRPr="00361017">
        <w:rPr>
          <w:sz w:val="22"/>
          <w:szCs w:val="22"/>
        </w:rPr>
        <w:t xml:space="preserve">have power to change the company’s name and, ultimately, wind it up. </w:t>
      </w:r>
    </w:p>
    <w:p w14:paraId="394AFB6D" w14:textId="77777777" w:rsidR="00CF6884" w:rsidRDefault="00CF6884" w:rsidP="00CF6884">
      <w:pPr>
        <w:pStyle w:val="Default"/>
        <w:rPr>
          <w:sz w:val="22"/>
          <w:szCs w:val="22"/>
        </w:rPr>
      </w:pPr>
    </w:p>
    <w:p w14:paraId="4A2D335D" w14:textId="77777777" w:rsidR="00CF6884" w:rsidRDefault="00CF6884" w:rsidP="00CF6884">
      <w:pPr>
        <w:pStyle w:val="Default"/>
        <w:rPr>
          <w:sz w:val="22"/>
          <w:szCs w:val="22"/>
        </w:rPr>
      </w:pPr>
      <w:r>
        <w:rPr>
          <w:b/>
          <w:bCs/>
          <w:sz w:val="22"/>
          <w:szCs w:val="22"/>
        </w:rPr>
        <w:t xml:space="preserve">Time Commitment </w:t>
      </w:r>
    </w:p>
    <w:p w14:paraId="43185352" w14:textId="77777777" w:rsidR="00CF6884" w:rsidRDefault="00CF6884" w:rsidP="00CF6884">
      <w:pPr>
        <w:pStyle w:val="Default"/>
        <w:rPr>
          <w:sz w:val="22"/>
          <w:szCs w:val="22"/>
        </w:rPr>
      </w:pPr>
      <w:r>
        <w:rPr>
          <w:sz w:val="22"/>
          <w:szCs w:val="22"/>
        </w:rPr>
        <w:t xml:space="preserve">Members usually meet formally in person at least twice a year, one of these meetings being the AGM in January. Meetings last no more than two hours but paperwork is shared in advance so there will need to be time set aside for reading these. </w:t>
      </w:r>
    </w:p>
    <w:p w14:paraId="79AA1B17" w14:textId="77777777" w:rsidR="008F0A64" w:rsidRDefault="008F0A64" w:rsidP="00CF6884">
      <w:pPr>
        <w:pStyle w:val="Default"/>
        <w:rPr>
          <w:sz w:val="22"/>
          <w:szCs w:val="22"/>
        </w:rPr>
      </w:pPr>
    </w:p>
    <w:p w14:paraId="17415725" w14:textId="076E3160" w:rsidR="00CF6884" w:rsidRDefault="00CF6884" w:rsidP="00CF6884">
      <w:pPr>
        <w:pStyle w:val="Default"/>
        <w:rPr>
          <w:sz w:val="22"/>
          <w:szCs w:val="22"/>
        </w:rPr>
      </w:pPr>
      <w:r>
        <w:rPr>
          <w:sz w:val="22"/>
          <w:szCs w:val="22"/>
        </w:rPr>
        <w:t xml:space="preserve">Members will also receive regular updates from the Chair of the Trust Board which they should read in order to satisfy themselves that the </w:t>
      </w:r>
      <w:r w:rsidR="00D74C71">
        <w:rPr>
          <w:sz w:val="22"/>
          <w:szCs w:val="22"/>
        </w:rPr>
        <w:t xml:space="preserve">Trust </w:t>
      </w:r>
      <w:r>
        <w:rPr>
          <w:sz w:val="22"/>
          <w:szCs w:val="22"/>
        </w:rPr>
        <w:t xml:space="preserve">Board is carrying out its responsibilities effectively. </w:t>
      </w:r>
    </w:p>
    <w:p w14:paraId="1F416242" w14:textId="77777777" w:rsidR="008F0A64" w:rsidRDefault="008F0A64" w:rsidP="00CF6884">
      <w:pPr>
        <w:pStyle w:val="Default"/>
        <w:rPr>
          <w:sz w:val="22"/>
          <w:szCs w:val="22"/>
        </w:rPr>
      </w:pPr>
    </w:p>
    <w:p w14:paraId="40B8DE90" w14:textId="77777777" w:rsidR="00CF6884" w:rsidRDefault="00CF6884" w:rsidP="00CF6884">
      <w:pPr>
        <w:pStyle w:val="Default"/>
        <w:rPr>
          <w:sz w:val="22"/>
          <w:szCs w:val="22"/>
        </w:rPr>
      </w:pPr>
      <w:r>
        <w:rPr>
          <w:sz w:val="22"/>
          <w:szCs w:val="22"/>
        </w:rPr>
        <w:t xml:space="preserve">There may be additional meetings when required, for example when recruiting new Members, and all Members are invited to specific events throughout the year when these take place at our schools. </w:t>
      </w:r>
    </w:p>
    <w:p w14:paraId="3BDA1063" w14:textId="77777777" w:rsidR="008F0A64" w:rsidRDefault="008F0A64" w:rsidP="00CF6884">
      <w:pPr>
        <w:pStyle w:val="Default"/>
        <w:rPr>
          <w:sz w:val="22"/>
          <w:szCs w:val="22"/>
        </w:rPr>
      </w:pPr>
    </w:p>
    <w:p w14:paraId="5A0492C4" w14:textId="77777777" w:rsidR="00CF6884" w:rsidRDefault="00CF6884" w:rsidP="00CF6884">
      <w:pPr>
        <w:pStyle w:val="Default"/>
        <w:rPr>
          <w:sz w:val="22"/>
          <w:szCs w:val="22"/>
        </w:rPr>
      </w:pPr>
      <w:r>
        <w:rPr>
          <w:b/>
          <w:bCs/>
          <w:sz w:val="22"/>
          <w:szCs w:val="22"/>
        </w:rPr>
        <w:t xml:space="preserve">Terms of appointment </w:t>
      </w:r>
    </w:p>
    <w:p w14:paraId="7C7F4211" w14:textId="77777777" w:rsidR="00CF6884" w:rsidRDefault="00CF6884" w:rsidP="00CF6884">
      <w:pPr>
        <w:pStyle w:val="Default"/>
        <w:rPr>
          <w:sz w:val="22"/>
          <w:szCs w:val="22"/>
        </w:rPr>
      </w:pPr>
      <w:r>
        <w:rPr>
          <w:sz w:val="22"/>
          <w:szCs w:val="22"/>
        </w:rPr>
        <w:t xml:space="preserve">This is an unpaid, voluntary position. The role is unremunerated but reasonable, pre-agreed expenses will be reimbursed. </w:t>
      </w:r>
    </w:p>
    <w:p w14:paraId="79639B74" w14:textId="77777777" w:rsidR="008F0A64" w:rsidRDefault="008F0A64" w:rsidP="00CF6884">
      <w:pPr>
        <w:pStyle w:val="Default"/>
        <w:rPr>
          <w:sz w:val="22"/>
          <w:szCs w:val="22"/>
        </w:rPr>
      </w:pPr>
    </w:p>
    <w:p w14:paraId="3916705A" w14:textId="77777777" w:rsidR="00CF6884" w:rsidRDefault="00CF6884" w:rsidP="00CF6884">
      <w:pPr>
        <w:pStyle w:val="Default"/>
        <w:rPr>
          <w:sz w:val="22"/>
          <w:szCs w:val="22"/>
        </w:rPr>
      </w:pPr>
      <w:r>
        <w:rPr>
          <w:sz w:val="22"/>
          <w:szCs w:val="22"/>
        </w:rPr>
        <w:t xml:space="preserve">Members do not have a defined term of office but the requirement is that there are a minimum of three members at all times. </w:t>
      </w:r>
    </w:p>
    <w:p w14:paraId="743C7B55" w14:textId="77777777" w:rsidR="008F0A64" w:rsidRDefault="008F0A64" w:rsidP="00CF6884">
      <w:pPr>
        <w:pStyle w:val="Default"/>
        <w:rPr>
          <w:sz w:val="22"/>
          <w:szCs w:val="22"/>
        </w:rPr>
      </w:pPr>
    </w:p>
    <w:p w14:paraId="2CE0EF02" w14:textId="77777777" w:rsidR="00CF6884" w:rsidRDefault="00CF6884" w:rsidP="00CF6884">
      <w:pPr>
        <w:pStyle w:val="Default"/>
        <w:rPr>
          <w:sz w:val="22"/>
          <w:szCs w:val="22"/>
        </w:rPr>
      </w:pPr>
      <w:r>
        <w:rPr>
          <w:sz w:val="22"/>
          <w:szCs w:val="22"/>
        </w:rPr>
        <w:t xml:space="preserve">All Members will be subject to a DBS check. </w:t>
      </w:r>
    </w:p>
    <w:p w14:paraId="7375C260" w14:textId="77777777" w:rsidR="008F0A64" w:rsidRDefault="008F0A64" w:rsidP="00CF6884">
      <w:pPr>
        <w:pStyle w:val="Default"/>
        <w:rPr>
          <w:sz w:val="22"/>
          <w:szCs w:val="22"/>
        </w:rPr>
      </w:pPr>
    </w:p>
    <w:p w14:paraId="1A0399D5" w14:textId="77777777" w:rsidR="00CF6884" w:rsidRDefault="00CF6884" w:rsidP="00CF6884">
      <w:pPr>
        <w:pStyle w:val="Default"/>
        <w:rPr>
          <w:sz w:val="22"/>
          <w:szCs w:val="22"/>
        </w:rPr>
      </w:pPr>
      <w:r>
        <w:rPr>
          <w:b/>
          <w:bCs/>
          <w:sz w:val="22"/>
          <w:szCs w:val="22"/>
        </w:rPr>
        <w:t xml:space="preserve">Person specification </w:t>
      </w:r>
    </w:p>
    <w:p w14:paraId="32B598C8" w14:textId="556AE463" w:rsidR="00486B4D" w:rsidRDefault="00CF6884" w:rsidP="00CF6884">
      <w:pPr>
        <w:pStyle w:val="Default"/>
        <w:numPr>
          <w:ilvl w:val="0"/>
          <w:numId w:val="13"/>
        </w:numPr>
        <w:rPr>
          <w:sz w:val="22"/>
          <w:szCs w:val="22"/>
        </w:rPr>
      </w:pPr>
      <w:r>
        <w:rPr>
          <w:sz w:val="22"/>
          <w:szCs w:val="22"/>
        </w:rPr>
        <w:t xml:space="preserve">A commitment to voluntary service to the community in support of the Trust’s mission </w:t>
      </w:r>
      <w:r w:rsidR="00D74C71">
        <w:rPr>
          <w:sz w:val="22"/>
          <w:szCs w:val="22"/>
        </w:rPr>
        <w:t>of better futures for children and young people</w:t>
      </w:r>
      <w:r>
        <w:rPr>
          <w:sz w:val="22"/>
          <w:szCs w:val="22"/>
        </w:rPr>
        <w:t xml:space="preserve">. </w:t>
      </w:r>
    </w:p>
    <w:p w14:paraId="2F960AFA" w14:textId="77777777" w:rsidR="00486B4D" w:rsidRDefault="00CF6884" w:rsidP="00CF6884">
      <w:pPr>
        <w:pStyle w:val="Default"/>
        <w:numPr>
          <w:ilvl w:val="0"/>
          <w:numId w:val="13"/>
        </w:numPr>
        <w:rPr>
          <w:sz w:val="22"/>
          <w:szCs w:val="22"/>
        </w:rPr>
      </w:pPr>
      <w:r w:rsidRPr="00486B4D">
        <w:rPr>
          <w:sz w:val="22"/>
          <w:szCs w:val="22"/>
        </w:rPr>
        <w:t xml:space="preserve">An understanding the difference between the role of Member and Trustee; experience in a senior role and board level engagement and understanding of the role of Members as a the ‘guardians of governance’. </w:t>
      </w:r>
    </w:p>
    <w:p w14:paraId="2E93F47E" w14:textId="06B3B915" w:rsidR="00486B4D" w:rsidRDefault="00CF6884" w:rsidP="00CF6884">
      <w:pPr>
        <w:pStyle w:val="Default"/>
        <w:numPr>
          <w:ilvl w:val="0"/>
          <w:numId w:val="13"/>
        </w:numPr>
        <w:rPr>
          <w:sz w:val="22"/>
          <w:szCs w:val="22"/>
        </w:rPr>
      </w:pPr>
      <w:r w:rsidRPr="00486B4D">
        <w:rPr>
          <w:sz w:val="22"/>
          <w:szCs w:val="22"/>
        </w:rPr>
        <w:t xml:space="preserve">Communication and collaboration – experience working effectively as </w:t>
      </w:r>
      <w:r w:rsidR="00D74C71">
        <w:rPr>
          <w:sz w:val="22"/>
          <w:szCs w:val="22"/>
        </w:rPr>
        <w:t xml:space="preserve">part </w:t>
      </w:r>
      <w:r w:rsidRPr="00486B4D">
        <w:rPr>
          <w:sz w:val="22"/>
          <w:szCs w:val="22"/>
        </w:rPr>
        <w:t xml:space="preserve">of a team which meets infrequently but has an important role, and to effectively communicate the reasons for any decisions taken. </w:t>
      </w:r>
    </w:p>
    <w:p w14:paraId="0D044ACF" w14:textId="508F8FFE" w:rsidR="00CF6884" w:rsidRDefault="00CF6884" w:rsidP="00CF6884">
      <w:pPr>
        <w:pStyle w:val="Default"/>
        <w:numPr>
          <w:ilvl w:val="0"/>
          <w:numId w:val="13"/>
        </w:numPr>
        <w:rPr>
          <w:sz w:val="22"/>
          <w:szCs w:val="22"/>
        </w:rPr>
      </w:pPr>
      <w:r w:rsidRPr="00486B4D">
        <w:rPr>
          <w:sz w:val="22"/>
          <w:szCs w:val="22"/>
        </w:rPr>
        <w:t xml:space="preserve">Adherence to the seven Principles of Public Life (the “Nolan Principles”). These are Selflessness, Integrity, Objectivity, Accountability, Openness, Honesty and Leadership </w:t>
      </w:r>
    </w:p>
    <w:p w14:paraId="37E6C55E" w14:textId="77777777" w:rsidR="00D74C71" w:rsidRPr="00486B4D" w:rsidRDefault="00D74C71" w:rsidP="00D74C71">
      <w:pPr>
        <w:pStyle w:val="Default"/>
        <w:ind w:left="720"/>
        <w:rPr>
          <w:sz w:val="22"/>
          <w:szCs w:val="22"/>
        </w:rPr>
      </w:pPr>
    </w:p>
    <w:p w14:paraId="2BD748FE" w14:textId="77777777" w:rsidR="00676470" w:rsidRPr="00013928" w:rsidRDefault="00E00871">
      <w:pPr>
        <w:pStyle w:val="Heading2"/>
        <w:rPr>
          <w:rFonts w:ascii="Segoe UI" w:hAnsi="Segoe UI" w:cs="Segoe UI"/>
          <w:b/>
          <w:bCs/>
          <w:color w:val="auto"/>
          <w:sz w:val="28"/>
          <w:szCs w:val="28"/>
        </w:rPr>
      </w:pPr>
      <w:r w:rsidRPr="00013928">
        <w:rPr>
          <w:rFonts w:ascii="Segoe UI" w:hAnsi="Segoe UI" w:cs="Segoe UI"/>
          <w:b/>
          <w:bCs/>
          <w:color w:val="auto"/>
          <w:sz w:val="28"/>
          <w:szCs w:val="28"/>
        </w:rPr>
        <w:t>Essential Personal Attributes</w:t>
      </w:r>
    </w:p>
    <w:tbl>
      <w:tblPr>
        <w:tblW w:w="1059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2268"/>
        <w:gridCol w:w="8330"/>
      </w:tblGrid>
      <w:tr w:rsidR="008452C8" w:rsidRPr="00B31465" w14:paraId="25CA5F21" w14:textId="77777777" w:rsidTr="00B31465">
        <w:tc>
          <w:tcPr>
            <w:tcW w:w="2268" w:type="dxa"/>
          </w:tcPr>
          <w:p w14:paraId="05A005AD" w14:textId="77777777" w:rsidR="00676470" w:rsidRPr="00B31465" w:rsidRDefault="00E00871" w:rsidP="00013928">
            <w:pPr>
              <w:ind w:left="456"/>
              <w:rPr>
                <w:rFonts w:ascii="Segoe UI" w:hAnsi="Segoe UI" w:cs="Segoe UI"/>
                <w:b/>
                <w:bCs/>
                <w:sz w:val="20"/>
                <w:szCs w:val="20"/>
              </w:rPr>
            </w:pPr>
            <w:r w:rsidRPr="00B31465">
              <w:rPr>
                <w:rFonts w:ascii="Segoe UI" w:hAnsi="Segoe UI" w:cs="Segoe UI"/>
                <w:b/>
                <w:bCs/>
                <w:sz w:val="20"/>
                <w:szCs w:val="20"/>
              </w:rPr>
              <w:t>Attribute</w:t>
            </w:r>
          </w:p>
        </w:tc>
        <w:tc>
          <w:tcPr>
            <w:tcW w:w="8330" w:type="dxa"/>
          </w:tcPr>
          <w:p w14:paraId="31FF54C8" w14:textId="77777777" w:rsidR="00676470" w:rsidRPr="00B31465" w:rsidRDefault="00E00871">
            <w:pPr>
              <w:rPr>
                <w:rFonts w:ascii="Segoe UI" w:hAnsi="Segoe UI" w:cs="Segoe UI"/>
                <w:b/>
                <w:bCs/>
                <w:sz w:val="20"/>
                <w:szCs w:val="20"/>
              </w:rPr>
            </w:pPr>
            <w:r w:rsidRPr="00B31465">
              <w:rPr>
                <w:rFonts w:ascii="Segoe UI" w:hAnsi="Segoe UI" w:cs="Segoe UI"/>
                <w:b/>
                <w:bCs/>
                <w:sz w:val="20"/>
                <w:szCs w:val="20"/>
              </w:rPr>
              <w:t>Description</w:t>
            </w:r>
          </w:p>
        </w:tc>
      </w:tr>
      <w:tr w:rsidR="008452C8" w:rsidRPr="00B31465" w14:paraId="2F6BF039" w14:textId="77777777" w:rsidTr="00B31465">
        <w:trPr>
          <w:trHeight w:val="928"/>
        </w:trPr>
        <w:tc>
          <w:tcPr>
            <w:tcW w:w="2268" w:type="dxa"/>
          </w:tcPr>
          <w:p w14:paraId="770B7C32" w14:textId="77777777" w:rsidR="00676470" w:rsidRPr="00B31465" w:rsidRDefault="00E00871" w:rsidP="00013928">
            <w:pPr>
              <w:ind w:left="456"/>
              <w:rPr>
                <w:rFonts w:ascii="Segoe UI" w:hAnsi="Segoe UI" w:cs="Segoe UI"/>
                <w:sz w:val="20"/>
                <w:szCs w:val="20"/>
              </w:rPr>
            </w:pPr>
            <w:r w:rsidRPr="00B31465">
              <w:rPr>
                <w:rFonts w:ascii="Segoe UI" w:hAnsi="Segoe UI" w:cs="Segoe UI"/>
                <w:sz w:val="20"/>
                <w:szCs w:val="20"/>
              </w:rPr>
              <w:t>Commitment</w:t>
            </w:r>
          </w:p>
        </w:tc>
        <w:tc>
          <w:tcPr>
            <w:tcW w:w="8330" w:type="dxa"/>
          </w:tcPr>
          <w:p w14:paraId="6AB3F0E0" w14:textId="50696F81" w:rsidR="00676470" w:rsidRPr="00B31465" w:rsidRDefault="00C149EF">
            <w:pPr>
              <w:rPr>
                <w:rFonts w:ascii="Segoe UI" w:hAnsi="Segoe UI" w:cs="Segoe UI"/>
                <w:sz w:val="20"/>
                <w:szCs w:val="20"/>
              </w:rPr>
            </w:pPr>
            <w:r w:rsidRPr="00B31465">
              <w:rPr>
                <w:rFonts w:ascii="Segoe UI" w:hAnsi="Segoe UI" w:cs="Segoe UI"/>
                <w:sz w:val="20"/>
                <w:szCs w:val="20"/>
              </w:rPr>
              <w:t xml:space="preserve">Devoting the required time and energy to the role and </w:t>
            </w:r>
            <w:r w:rsidR="006332C2" w:rsidRPr="00B31465">
              <w:rPr>
                <w:rFonts w:ascii="Segoe UI" w:hAnsi="Segoe UI" w:cs="Segoe UI"/>
                <w:sz w:val="20"/>
                <w:szCs w:val="20"/>
              </w:rPr>
              <w:t>ambition</w:t>
            </w:r>
            <w:r w:rsidRPr="00B31465">
              <w:rPr>
                <w:rFonts w:ascii="Segoe UI" w:hAnsi="Segoe UI" w:cs="Segoe UI"/>
                <w:sz w:val="20"/>
                <w:szCs w:val="20"/>
              </w:rPr>
              <w:t xml:space="preserve"> to achieve best possible outcomes for young people. Prepared to give time, skills and knowledge to </w:t>
            </w:r>
            <w:r w:rsidR="00B31465" w:rsidRPr="00B31465">
              <w:rPr>
                <w:rFonts w:ascii="Segoe UI" w:hAnsi="Segoe UI" w:cs="Segoe UI"/>
                <w:sz w:val="20"/>
                <w:szCs w:val="20"/>
              </w:rPr>
              <w:t>develop</w:t>
            </w:r>
            <w:r w:rsidRPr="00B31465">
              <w:rPr>
                <w:rFonts w:ascii="Segoe UI" w:hAnsi="Segoe UI" w:cs="Segoe UI"/>
                <w:sz w:val="20"/>
                <w:szCs w:val="20"/>
              </w:rPr>
              <w:t xml:space="preserve"> themselves and others </w:t>
            </w:r>
            <w:r w:rsidR="006332C2" w:rsidRPr="00B31465">
              <w:rPr>
                <w:rFonts w:ascii="Segoe UI" w:hAnsi="Segoe UI" w:cs="Segoe UI"/>
                <w:sz w:val="20"/>
                <w:szCs w:val="20"/>
              </w:rPr>
              <w:t>to</w:t>
            </w:r>
            <w:r w:rsidRPr="00B31465">
              <w:rPr>
                <w:rFonts w:ascii="Segoe UI" w:hAnsi="Segoe UI" w:cs="Segoe UI"/>
                <w:sz w:val="20"/>
                <w:szCs w:val="20"/>
              </w:rPr>
              <w:t xml:space="preserve"> </w:t>
            </w:r>
            <w:r w:rsidR="009F6E0E" w:rsidRPr="00B31465">
              <w:rPr>
                <w:rFonts w:ascii="Segoe UI" w:hAnsi="Segoe UI" w:cs="Segoe UI"/>
                <w:sz w:val="20"/>
                <w:szCs w:val="20"/>
              </w:rPr>
              <w:t>ensure</w:t>
            </w:r>
            <w:r w:rsidRPr="00B31465">
              <w:rPr>
                <w:rFonts w:ascii="Segoe UI" w:hAnsi="Segoe UI" w:cs="Segoe UI"/>
                <w:sz w:val="20"/>
                <w:szCs w:val="20"/>
              </w:rPr>
              <w:t xml:space="preserve"> highly effective governance.</w:t>
            </w:r>
          </w:p>
        </w:tc>
      </w:tr>
      <w:tr w:rsidR="008452C8" w:rsidRPr="00B31465" w14:paraId="7F34225B" w14:textId="77777777" w:rsidTr="00B31465">
        <w:tc>
          <w:tcPr>
            <w:tcW w:w="2268" w:type="dxa"/>
          </w:tcPr>
          <w:p w14:paraId="5F6B2661" w14:textId="77777777" w:rsidR="00676470" w:rsidRPr="00B31465" w:rsidRDefault="00E00871" w:rsidP="00013928">
            <w:pPr>
              <w:ind w:left="456"/>
              <w:rPr>
                <w:rFonts w:ascii="Segoe UI" w:hAnsi="Segoe UI" w:cs="Segoe UI"/>
                <w:sz w:val="20"/>
                <w:szCs w:val="20"/>
              </w:rPr>
            </w:pPr>
            <w:r w:rsidRPr="00B31465">
              <w:rPr>
                <w:rFonts w:ascii="Segoe UI" w:hAnsi="Segoe UI" w:cs="Segoe UI"/>
                <w:sz w:val="20"/>
                <w:szCs w:val="20"/>
              </w:rPr>
              <w:t>Confidence</w:t>
            </w:r>
          </w:p>
        </w:tc>
        <w:tc>
          <w:tcPr>
            <w:tcW w:w="8330" w:type="dxa"/>
          </w:tcPr>
          <w:p w14:paraId="7934A994" w14:textId="0B235CA2" w:rsidR="00676470" w:rsidRPr="00B31465" w:rsidRDefault="009F6E0E">
            <w:pPr>
              <w:rPr>
                <w:rFonts w:ascii="Segoe UI" w:hAnsi="Segoe UI" w:cs="Segoe UI"/>
                <w:sz w:val="20"/>
                <w:szCs w:val="20"/>
              </w:rPr>
            </w:pPr>
            <w:r w:rsidRPr="00B31465">
              <w:rPr>
                <w:rFonts w:ascii="Segoe UI" w:hAnsi="Segoe UI" w:cs="Segoe UI"/>
                <w:sz w:val="20"/>
                <w:szCs w:val="20"/>
              </w:rPr>
              <w:t>Of an independent mind, able to lead and contribute to courageous conversations, to express their opinion and to play an active role on the board.</w:t>
            </w:r>
          </w:p>
        </w:tc>
      </w:tr>
      <w:tr w:rsidR="008452C8" w:rsidRPr="00B31465" w14:paraId="513A0C2C" w14:textId="77777777" w:rsidTr="00B31465">
        <w:tc>
          <w:tcPr>
            <w:tcW w:w="2268" w:type="dxa"/>
          </w:tcPr>
          <w:p w14:paraId="308242D9" w14:textId="77777777" w:rsidR="00676470" w:rsidRPr="00B31465" w:rsidRDefault="00E00871" w:rsidP="00013928">
            <w:pPr>
              <w:ind w:left="456"/>
              <w:rPr>
                <w:rFonts w:ascii="Segoe UI" w:hAnsi="Segoe UI" w:cs="Segoe UI"/>
                <w:sz w:val="20"/>
                <w:szCs w:val="20"/>
              </w:rPr>
            </w:pPr>
            <w:r w:rsidRPr="00B31465">
              <w:rPr>
                <w:rFonts w:ascii="Segoe UI" w:hAnsi="Segoe UI" w:cs="Segoe UI"/>
                <w:sz w:val="20"/>
                <w:szCs w:val="20"/>
              </w:rPr>
              <w:t>Curiosity</w:t>
            </w:r>
          </w:p>
        </w:tc>
        <w:tc>
          <w:tcPr>
            <w:tcW w:w="8330" w:type="dxa"/>
          </w:tcPr>
          <w:p w14:paraId="6F063C3C" w14:textId="0EA0D748" w:rsidR="00676470" w:rsidRPr="00B31465" w:rsidRDefault="006108C7">
            <w:pPr>
              <w:rPr>
                <w:rFonts w:ascii="Segoe UI" w:hAnsi="Segoe UI" w:cs="Segoe UI"/>
                <w:sz w:val="20"/>
                <w:szCs w:val="20"/>
              </w:rPr>
            </w:pPr>
            <w:r w:rsidRPr="00B31465">
              <w:rPr>
                <w:rFonts w:ascii="Segoe UI" w:hAnsi="Segoe UI" w:cs="Segoe UI"/>
                <w:sz w:val="20"/>
                <w:szCs w:val="20"/>
              </w:rPr>
              <w:t>Possessing an enquiring mind and an analytical approach and understanding the value of meaningful questioning.</w:t>
            </w:r>
          </w:p>
        </w:tc>
      </w:tr>
      <w:tr w:rsidR="008452C8" w:rsidRPr="00B31465" w14:paraId="3A99A055" w14:textId="77777777" w:rsidTr="00B31465">
        <w:tc>
          <w:tcPr>
            <w:tcW w:w="2268" w:type="dxa"/>
          </w:tcPr>
          <w:p w14:paraId="13E9A181" w14:textId="77777777" w:rsidR="00676470" w:rsidRPr="00B31465" w:rsidRDefault="00E00871" w:rsidP="00013928">
            <w:pPr>
              <w:ind w:left="456"/>
              <w:rPr>
                <w:rFonts w:ascii="Segoe UI" w:hAnsi="Segoe UI" w:cs="Segoe UI"/>
                <w:sz w:val="20"/>
                <w:szCs w:val="20"/>
              </w:rPr>
            </w:pPr>
            <w:r w:rsidRPr="00B31465">
              <w:rPr>
                <w:rFonts w:ascii="Segoe UI" w:hAnsi="Segoe UI" w:cs="Segoe UI"/>
                <w:sz w:val="20"/>
                <w:szCs w:val="20"/>
              </w:rPr>
              <w:t>Challenge</w:t>
            </w:r>
          </w:p>
        </w:tc>
        <w:tc>
          <w:tcPr>
            <w:tcW w:w="8330" w:type="dxa"/>
          </w:tcPr>
          <w:p w14:paraId="395E66A4" w14:textId="77777777" w:rsidR="00676470" w:rsidRPr="00B31465" w:rsidRDefault="00E00871">
            <w:pPr>
              <w:rPr>
                <w:rFonts w:ascii="Segoe UI" w:hAnsi="Segoe UI" w:cs="Segoe UI"/>
                <w:sz w:val="20"/>
                <w:szCs w:val="20"/>
              </w:rPr>
            </w:pPr>
            <w:r w:rsidRPr="00B31465">
              <w:rPr>
                <w:rFonts w:ascii="Segoe UI" w:hAnsi="Segoe UI" w:cs="Segoe UI"/>
                <w:sz w:val="20"/>
                <w:szCs w:val="20"/>
              </w:rPr>
              <w:t>Confidence to question assumptions, interrogate data, and champion continuous improvement.</w:t>
            </w:r>
          </w:p>
        </w:tc>
      </w:tr>
      <w:tr w:rsidR="008452C8" w:rsidRPr="00B31465" w14:paraId="59CBBC10" w14:textId="77777777" w:rsidTr="00B31465">
        <w:tc>
          <w:tcPr>
            <w:tcW w:w="2268" w:type="dxa"/>
          </w:tcPr>
          <w:p w14:paraId="728D14F2" w14:textId="77777777" w:rsidR="00676470" w:rsidRPr="00B31465" w:rsidRDefault="00E00871" w:rsidP="00013928">
            <w:pPr>
              <w:ind w:left="456"/>
              <w:rPr>
                <w:rFonts w:ascii="Segoe UI" w:hAnsi="Segoe UI" w:cs="Segoe UI"/>
                <w:sz w:val="20"/>
                <w:szCs w:val="20"/>
              </w:rPr>
            </w:pPr>
            <w:r w:rsidRPr="00B31465">
              <w:rPr>
                <w:rFonts w:ascii="Segoe UI" w:hAnsi="Segoe UI" w:cs="Segoe UI"/>
                <w:sz w:val="20"/>
                <w:szCs w:val="20"/>
              </w:rPr>
              <w:t>Collaboration</w:t>
            </w:r>
          </w:p>
        </w:tc>
        <w:tc>
          <w:tcPr>
            <w:tcW w:w="8330" w:type="dxa"/>
          </w:tcPr>
          <w:p w14:paraId="09B1F4CC" w14:textId="79445028" w:rsidR="00676470" w:rsidRPr="00B31465" w:rsidRDefault="007E66F3">
            <w:pPr>
              <w:rPr>
                <w:rFonts w:ascii="Segoe UI" w:hAnsi="Segoe UI" w:cs="Segoe UI"/>
                <w:sz w:val="20"/>
                <w:szCs w:val="20"/>
              </w:rPr>
            </w:pPr>
            <w:r w:rsidRPr="00B31465">
              <w:rPr>
                <w:rFonts w:ascii="Segoe UI" w:hAnsi="Segoe UI" w:cs="Segoe UI"/>
                <w:sz w:val="20"/>
                <w:szCs w:val="20"/>
              </w:rPr>
              <w:t>Prepared to listen to and work in partnership with others and understanding the importance of building strong working relationships with the board and with executive leaders</w:t>
            </w:r>
            <w:r w:rsidRPr="00B31465">
              <w:rPr>
                <w:rFonts w:ascii="Segoe UI" w:hAnsi="Segoe UI" w:cs="Segoe UI"/>
                <w:sz w:val="20"/>
                <w:szCs w:val="20"/>
              </w:rPr>
              <w:t>.</w:t>
            </w:r>
          </w:p>
        </w:tc>
      </w:tr>
      <w:tr w:rsidR="008452C8" w:rsidRPr="00B31465" w14:paraId="1E3D55DD" w14:textId="77777777" w:rsidTr="00B31465">
        <w:trPr>
          <w:trHeight w:val="936"/>
        </w:trPr>
        <w:tc>
          <w:tcPr>
            <w:tcW w:w="2268" w:type="dxa"/>
          </w:tcPr>
          <w:p w14:paraId="0E6552BC" w14:textId="77777777" w:rsidR="00676470" w:rsidRPr="00B31465" w:rsidRDefault="00E00871" w:rsidP="00013928">
            <w:pPr>
              <w:ind w:left="456"/>
              <w:rPr>
                <w:rFonts w:ascii="Segoe UI" w:hAnsi="Segoe UI" w:cs="Segoe UI"/>
                <w:sz w:val="20"/>
                <w:szCs w:val="20"/>
              </w:rPr>
            </w:pPr>
            <w:r w:rsidRPr="00B31465">
              <w:rPr>
                <w:rFonts w:ascii="Segoe UI" w:hAnsi="Segoe UI" w:cs="Segoe UI"/>
                <w:sz w:val="20"/>
                <w:szCs w:val="20"/>
              </w:rPr>
              <w:t>Critical Reflection</w:t>
            </w:r>
          </w:p>
        </w:tc>
        <w:tc>
          <w:tcPr>
            <w:tcW w:w="8330" w:type="dxa"/>
          </w:tcPr>
          <w:p w14:paraId="2649E703" w14:textId="66B79181" w:rsidR="00676470" w:rsidRPr="00B31465" w:rsidRDefault="00C157AA">
            <w:pPr>
              <w:rPr>
                <w:rFonts w:ascii="Segoe UI" w:hAnsi="Segoe UI" w:cs="Segoe UI"/>
                <w:sz w:val="20"/>
                <w:szCs w:val="20"/>
              </w:rPr>
            </w:pPr>
            <w:r w:rsidRPr="00B31465">
              <w:rPr>
                <w:rFonts w:ascii="Segoe UI" w:hAnsi="Segoe UI" w:cs="Segoe UI"/>
                <w:sz w:val="20"/>
                <w:szCs w:val="20"/>
              </w:rPr>
              <w:t>Understanding the value of critical friendship which enables both challenge and support, and self-reflect</w:t>
            </w:r>
            <w:r w:rsidRPr="00B31465">
              <w:rPr>
                <w:rFonts w:ascii="Segoe UI" w:hAnsi="Segoe UI" w:cs="Segoe UI"/>
                <w:sz w:val="20"/>
                <w:szCs w:val="20"/>
              </w:rPr>
              <w:t xml:space="preserve">ion in order to ensure robust </w:t>
            </w:r>
            <w:r w:rsidR="00E21BCA" w:rsidRPr="00B31465">
              <w:rPr>
                <w:rFonts w:ascii="Segoe UI" w:hAnsi="Segoe UI" w:cs="Segoe UI"/>
                <w:sz w:val="20"/>
                <w:szCs w:val="20"/>
              </w:rPr>
              <w:t xml:space="preserve">‘arm’s length’ </w:t>
            </w:r>
            <w:r w:rsidRPr="00B31465">
              <w:rPr>
                <w:rFonts w:ascii="Segoe UI" w:hAnsi="Segoe UI" w:cs="Segoe UI"/>
                <w:sz w:val="20"/>
                <w:szCs w:val="20"/>
              </w:rPr>
              <w:t xml:space="preserve">oversight of </w:t>
            </w:r>
            <w:r w:rsidR="009F48EA" w:rsidRPr="00B31465">
              <w:rPr>
                <w:rFonts w:ascii="Segoe UI" w:hAnsi="Segoe UI" w:cs="Segoe UI"/>
                <w:sz w:val="20"/>
                <w:szCs w:val="20"/>
              </w:rPr>
              <w:t>governance in the Trust</w:t>
            </w:r>
          </w:p>
        </w:tc>
      </w:tr>
      <w:tr w:rsidR="008452C8" w:rsidRPr="00B31465" w14:paraId="26B63270" w14:textId="77777777" w:rsidTr="00B31465">
        <w:tc>
          <w:tcPr>
            <w:tcW w:w="2268" w:type="dxa"/>
          </w:tcPr>
          <w:p w14:paraId="4A8604B5" w14:textId="77777777" w:rsidR="00676470" w:rsidRPr="00B31465" w:rsidRDefault="00E00871" w:rsidP="00013928">
            <w:pPr>
              <w:ind w:left="456"/>
              <w:rPr>
                <w:rFonts w:ascii="Segoe UI" w:hAnsi="Segoe UI" w:cs="Segoe UI"/>
                <w:sz w:val="20"/>
                <w:szCs w:val="20"/>
              </w:rPr>
            </w:pPr>
            <w:r w:rsidRPr="00B31465">
              <w:rPr>
                <w:rFonts w:ascii="Segoe UI" w:hAnsi="Segoe UI" w:cs="Segoe UI"/>
                <w:sz w:val="20"/>
                <w:szCs w:val="20"/>
              </w:rPr>
              <w:t>Creativity</w:t>
            </w:r>
          </w:p>
        </w:tc>
        <w:tc>
          <w:tcPr>
            <w:tcW w:w="8330" w:type="dxa"/>
          </w:tcPr>
          <w:p w14:paraId="27688DF0" w14:textId="77777777" w:rsidR="00676470" w:rsidRPr="00B31465" w:rsidRDefault="00E00871">
            <w:pPr>
              <w:rPr>
                <w:rFonts w:ascii="Segoe UI" w:hAnsi="Segoe UI" w:cs="Segoe UI"/>
                <w:sz w:val="20"/>
                <w:szCs w:val="20"/>
              </w:rPr>
            </w:pPr>
            <w:r w:rsidRPr="00B31465">
              <w:rPr>
                <w:rFonts w:ascii="Segoe UI" w:hAnsi="Segoe UI" w:cs="Segoe UI"/>
                <w:sz w:val="20"/>
                <w:szCs w:val="20"/>
              </w:rPr>
              <w:t>Openness to innovation, new perspectives, and creative problem‑solving that strengthens organisational impact.</w:t>
            </w:r>
          </w:p>
        </w:tc>
      </w:tr>
      <w:tr w:rsidR="008452C8" w:rsidRPr="00B31465" w14:paraId="13CCE356" w14:textId="77777777" w:rsidTr="00B31465">
        <w:tc>
          <w:tcPr>
            <w:tcW w:w="2268" w:type="dxa"/>
          </w:tcPr>
          <w:p w14:paraId="311CF1B9" w14:textId="77777777" w:rsidR="00676470" w:rsidRPr="00B31465" w:rsidRDefault="00E00871" w:rsidP="00013928">
            <w:pPr>
              <w:ind w:left="456"/>
              <w:rPr>
                <w:rFonts w:ascii="Segoe UI" w:hAnsi="Segoe UI" w:cs="Segoe UI"/>
                <w:sz w:val="20"/>
                <w:szCs w:val="20"/>
              </w:rPr>
            </w:pPr>
            <w:r w:rsidRPr="00B31465">
              <w:rPr>
                <w:rFonts w:ascii="Segoe UI" w:hAnsi="Segoe UI" w:cs="Segoe UI"/>
                <w:sz w:val="20"/>
                <w:szCs w:val="20"/>
              </w:rPr>
              <w:t>Culture &amp; Ethics</w:t>
            </w:r>
          </w:p>
        </w:tc>
        <w:tc>
          <w:tcPr>
            <w:tcW w:w="8330" w:type="dxa"/>
          </w:tcPr>
          <w:p w14:paraId="34DA8E37" w14:textId="77777777" w:rsidR="00676470" w:rsidRPr="00B31465" w:rsidRDefault="00E00871">
            <w:pPr>
              <w:rPr>
                <w:rFonts w:ascii="Segoe UI" w:hAnsi="Segoe UI" w:cs="Segoe UI"/>
                <w:sz w:val="20"/>
                <w:szCs w:val="20"/>
              </w:rPr>
            </w:pPr>
            <w:r w:rsidRPr="00B31465">
              <w:rPr>
                <w:rFonts w:ascii="Segoe UI" w:hAnsi="Segoe UI" w:cs="Segoe UI"/>
                <w:sz w:val="20"/>
                <w:szCs w:val="20"/>
              </w:rPr>
              <w:t>A deep commitment to ethical leadership, ensuring strategy is rooted in the needs of schools, communities, the wider education system, and the Trust’s charitable objectives.</w:t>
            </w:r>
          </w:p>
        </w:tc>
      </w:tr>
    </w:tbl>
    <w:p w14:paraId="1467B670" w14:textId="77777777" w:rsidR="00E00871" w:rsidRPr="008452C8" w:rsidRDefault="00E00871">
      <w:pPr>
        <w:rPr>
          <w:rFonts w:ascii="Segoe UI" w:hAnsi="Segoe UI" w:cs="Segoe UI"/>
        </w:rPr>
      </w:pPr>
    </w:p>
    <w:sectPr w:rsidR="00E00871" w:rsidRPr="008452C8" w:rsidSect="00013928">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C690C" w14:textId="77777777" w:rsidR="00B07621" w:rsidRDefault="00B07621" w:rsidP="00545B75">
      <w:pPr>
        <w:spacing w:after="0" w:line="240" w:lineRule="auto"/>
      </w:pPr>
      <w:r>
        <w:separator/>
      </w:r>
    </w:p>
  </w:endnote>
  <w:endnote w:type="continuationSeparator" w:id="0">
    <w:p w14:paraId="1D5A7788" w14:textId="77777777" w:rsidR="00B07621" w:rsidRDefault="00B07621" w:rsidP="00545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Diglu Medium">
    <w:altName w:val="Calibri"/>
    <w:panose1 w:val="00000000000000000000"/>
    <w:charset w:val="4D"/>
    <w:family w:val="auto"/>
    <w:notTrueType/>
    <w:pitch w:val="variable"/>
    <w:sig w:usb0="A00000EF" w:usb1="5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2C905" w14:textId="77777777" w:rsidR="00B07621" w:rsidRDefault="00B07621" w:rsidP="00545B75">
      <w:pPr>
        <w:spacing w:after="0" w:line="240" w:lineRule="auto"/>
      </w:pPr>
      <w:r>
        <w:separator/>
      </w:r>
    </w:p>
  </w:footnote>
  <w:footnote w:type="continuationSeparator" w:id="0">
    <w:p w14:paraId="245E5513" w14:textId="77777777" w:rsidR="00B07621" w:rsidRDefault="00B07621" w:rsidP="00545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A5E82" w14:textId="5C94ED07" w:rsidR="00545B75" w:rsidRDefault="008452C8">
    <w:pPr>
      <w:pStyle w:val="Header"/>
    </w:pPr>
    <w:r>
      <w:rPr>
        <w:rFonts w:ascii="Diglu Medium" w:hAnsi="Diglu Medium"/>
        <w:noProof/>
      </w:rPr>
      <w:drawing>
        <wp:anchor distT="0" distB="0" distL="114300" distR="114300" simplePos="0" relativeHeight="251658752" behindDoc="1" locked="0" layoutInCell="1" allowOverlap="1" wp14:anchorId="5855FF61" wp14:editId="17B31422">
          <wp:simplePos x="0" y="0"/>
          <wp:positionH relativeFrom="column">
            <wp:posOffset>4619625</wp:posOffset>
          </wp:positionH>
          <wp:positionV relativeFrom="paragraph">
            <wp:posOffset>-34290</wp:posOffset>
          </wp:positionV>
          <wp:extent cx="1411372" cy="618706"/>
          <wp:effectExtent l="0" t="0" r="0" b="3810"/>
          <wp:wrapNone/>
          <wp:docPr id="88758458" name="Picture 6"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58458" name="Picture 6"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11372" cy="618706"/>
                  </a:xfrm>
                  <a:prstGeom prst="rect">
                    <a:avLst/>
                  </a:prstGeom>
                </pic:spPr>
              </pic:pic>
            </a:graphicData>
          </a:graphic>
          <wp14:sizeRelH relativeFrom="page">
            <wp14:pctWidth>0</wp14:pctWidth>
          </wp14:sizeRelH>
          <wp14:sizeRelV relativeFrom="page">
            <wp14:pctHeight>0</wp14:pctHeight>
          </wp14:sizeRelV>
        </wp:anchor>
      </w:drawing>
    </w:r>
    <w:r w:rsidR="009F0210">
      <w:rPr>
        <w:rFonts w:ascii="Diglu Medium" w:hAnsi="Diglu Medium"/>
        <w:noProof/>
      </w:rPr>
      <w:drawing>
        <wp:anchor distT="0" distB="0" distL="114300" distR="114300" simplePos="0" relativeHeight="251657728" behindDoc="0" locked="0" layoutInCell="1" allowOverlap="1" wp14:anchorId="2CA025FB" wp14:editId="16DDDE5C">
          <wp:simplePos x="0" y="0"/>
          <wp:positionH relativeFrom="column">
            <wp:posOffset>0</wp:posOffset>
          </wp:positionH>
          <wp:positionV relativeFrom="paragraph">
            <wp:posOffset>0</wp:posOffset>
          </wp:positionV>
          <wp:extent cx="2908300" cy="584200"/>
          <wp:effectExtent l="0" t="0" r="0" b="0"/>
          <wp:wrapNone/>
          <wp:docPr id="1675374491"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74491" name="Picture 5" descr="A black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908300" cy="584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C8E419F"/>
    <w:multiLevelType w:val="hybridMultilevel"/>
    <w:tmpl w:val="437A1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FC13FF"/>
    <w:multiLevelType w:val="hybridMultilevel"/>
    <w:tmpl w:val="00866E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645D59"/>
    <w:multiLevelType w:val="hybridMultilevel"/>
    <w:tmpl w:val="DED6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FE6806"/>
    <w:multiLevelType w:val="hybridMultilevel"/>
    <w:tmpl w:val="15081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7740298">
    <w:abstractNumId w:val="8"/>
  </w:num>
  <w:num w:numId="2" w16cid:durableId="1643345805">
    <w:abstractNumId w:val="6"/>
  </w:num>
  <w:num w:numId="3" w16cid:durableId="2122530418">
    <w:abstractNumId w:val="5"/>
  </w:num>
  <w:num w:numId="4" w16cid:durableId="1081413577">
    <w:abstractNumId w:val="4"/>
  </w:num>
  <w:num w:numId="5" w16cid:durableId="1533884706">
    <w:abstractNumId w:val="7"/>
  </w:num>
  <w:num w:numId="6" w16cid:durableId="955140918">
    <w:abstractNumId w:val="3"/>
  </w:num>
  <w:num w:numId="7" w16cid:durableId="1161585625">
    <w:abstractNumId w:val="2"/>
  </w:num>
  <w:num w:numId="8" w16cid:durableId="319501621">
    <w:abstractNumId w:val="1"/>
  </w:num>
  <w:num w:numId="9" w16cid:durableId="486747529">
    <w:abstractNumId w:val="0"/>
  </w:num>
  <w:num w:numId="10" w16cid:durableId="1823933401">
    <w:abstractNumId w:val="10"/>
  </w:num>
  <w:num w:numId="11" w16cid:durableId="2022393909">
    <w:abstractNumId w:val="11"/>
  </w:num>
  <w:num w:numId="12" w16cid:durableId="1938245279">
    <w:abstractNumId w:val="12"/>
  </w:num>
  <w:num w:numId="13" w16cid:durableId="14235318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3928"/>
    <w:rsid w:val="00034616"/>
    <w:rsid w:val="0006063C"/>
    <w:rsid w:val="0015074B"/>
    <w:rsid w:val="00167893"/>
    <w:rsid w:val="00185348"/>
    <w:rsid w:val="001F587A"/>
    <w:rsid w:val="001F7A3D"/>
    <w:rsid w:val="0029639D"/>
    <w:rsid w:val="00326F90"/>
    <w:rsid w:val="00361017"/>
    <w:rsid w:val="003657D8"/>
    <w:rsid w:val="00486B4D"/>
    <w:rsid w:val="004871DB"/>
    <w:rsid w:val="00533F82"/>
    <w:rsid w:val="00545B75"/>
    <w:rsid w:val="005A7944"/>
    <w:rsid w:val="005F5DC0"/>
    <w:rsid w:val="006108C7"/>
    <w:rsid w:val="006332C2"/>
    <w:rsid w:val="00676470"/>
    <w:rsid w:val="006D2254"/>
    <w:rsid w:val="00796DD9"/>
    <w:rsid w:val="007E53D6"/>
    <w:rsid w:val="007E66F3"/>
    <w:rsid w:val="008452C8"/>
    <w:rsid w:val="008F0A64"/>
    <w:rsid w:val="009F0210"/>
    <w:rsid w:val="009F48EA"/>
    <w:rsid w:val="009F6E0E"/>
    <w:rsid w:val="00AA1D8D"/>
    <w:rsid w:val="00B01047"/>
    <w:rsid w:val="00B07621"/>
    <w:rsid w:val="00B31465"/>
    <w:rsid w:val="00B47730"/>
    <w:rsid w:val="00B84858"/>
    <w:rsid w:val="00C149EF"/>
    <w:rsid w:val="00C157AA"/>
    <w:rsid w:val="00CB0664"/>
    <w:rsid w:val="00CD65DA"/>
    <w:rsid w:val="00CF6884"/>
    <w:rsid w:val="00D74C71"/>
    <w:rsid w:val="00E00871"/>
    <w:rsid w:val="00E21BCA"/>
    <w:rsid w:val="00E22056"/>
    <w:rsid w:val="00F30F37"/>
    <w:rsid w:val="00FC693F"/>
    <w:rsid w:val="0C532885"/>
    <w:rsid w:val="75794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FA7791DE-370E-4593-AEBA-A8328346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348"/>
  </w:style>
  <w:style w:type="paragraph" w:styleId="Heading1">
    <w:name w:val="heading 1"/>
    <w:basedOn w:val="Normal"/>
    <w:next w:val="Normal"/>
    <w:link w:val="Heading1Char"/>
    <w:uiPriority w:val="9"/>
    <w:qFormat/>
    <w:rsid w:val="00FC693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C693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C693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C693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C693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C69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9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9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9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C693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C693F"/>
    <w:rPr>
      <w:rFonts w:eastAsiaTheme="majorEastAsia" w:cstheme="majorBidi"/>
      <w:color w:val="365F91" w:themeColor="accent1" w:themeShade="BF"/>
      <w:sz w:val="28"/>
      <w:szCs w:val="28"/>
    </w:rPr>
  </w:style>
  <w:style w:type="paragraph" w:styleId="Title">
    <w:name w:val="Title"/>
    <w:basedOn w:val="Normal"/>
    <w:next w:val="Normal"/>
    <w:link w:val="TitleChar"/>
    <w:uiPriority w:val="10"/>
    <w:qFormat/>
    <w:rsid w:val="00FC6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9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93F"/>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pPr>
      <w:spacing w:before="160"/>
      <w:jc w:val="center"/>
    </w:pPr>
    <w:rPr>
      <w:i/>
      <w:iCs/>
      <w:color w:val="404040" w:themeColor="text1" w:themeTint="BF"/>
    </w:rPr>
  </w:style>
  <w:style w:type="character" w:customStyle="1" w:styleId="QuoteChar">
    <w:name w:val="Quote Char"/>
    <w:basedOn w:val="DefaultParagraphFont"/>
    <w:link w:val="Quote"/>
    <w:uiPriority w:val="29"/>
    <w:rsid w:val="00FC693F"/>
    <w:rPr>
      <w:i/>
      <w:iCs/>
      <w:color w:val="404040" w:themeColor="text1" w:themeTint="BF"/>
    </w:rPr>
  </w:style>
  <w:style w:type="character" w:customStyle="1" w:styleId="Heading4Char">
    <w:name w:val="Heading 4 Char"/>
    <w:basedOn w:val="DefaultParagraphFont"/>
    <w:link w:val="Heading4"/>
    <w:uiPriority w:val="9"/>
    <w:semiHidden/>
    <w:rsid w:val="00FC693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C693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C69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9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9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93F"/>
    <w:rPr>
      <w:rFonts w:eastAsiaTheme="majorEastAsia" w:cstheme="majorBidi"/>
      <w:color w:val="272727" w:themeColor="text1" w:themeTint="D8"/>
    </w:rPr>
  </w:style>
  <w:style w:type="paragraph" w:styleId="Caption">
    <w:name w:val="caption"/>
    <w:basedOn w:val="Normal"/>
    <w:next w:val="Normal"/>
    <w:uiPriority w:val="35"/>
    <w:semiHidden/>
    <w:unhideWhenUsed/>
    <w:qFormat/>
    <w:rsid w:val="00FC693F"/>
    <w:pPr>
      <w:spacing w:after="200" w:line="240" w:lineRule="auto"/>
    </w:pPr>
    <w:rPr>
      <w:i/>
      <w:iCs/>
      <w:color w:val="1F497D" w:themeColor="text2"/>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C693F"/>
    <w:rPr>
      <w:i/>
      <w:iCs/>
      <w:color w:val="365F91" w:themeColor="accent1" w:themeShade="BF"/>
    </w:rPr>
  </w:style>
  <w:style w:type="character" w:styleId="SubtleEmphasis">
    <w:name w:val="Subtle Emphasis"/>
    <w:basedOn w:val="DefaultParagraphFont"/>
    <w:uiPriority w:val="19"/>
    <w:qFormat/>
    <w:rsid w:val="00FC693F"/>
    <w:rPr>
      <w:i/>
      <w:iCs/>
      <w:color w:val="404040" w:themeColor="text1" w:themeTint="BF"/>
    </w:rPr>
  </w:style>
  <w:style w:type="character" w:styleId="IntenseEmphasis">
    <w:name w:val="Intense Emphasis"/>
    <w:basedOn w:val="DefaultParagraphFont"/>
    <w:uiPriority w:val="21"/>
    <w:qFormat/>
    <w:rsid w:val="00FC693F"/>
    <w:rPr>
      <w:i/>
      <w:iCs/>
      <w:color w:val="365F91" w:themeColor="accent1" w:themeShade="BF"/>
    </w:rPr>
  </w:style>
  <w:style w:type="character" w:styleId="SubtleReference">
    <w:name w:val="Subtle Reference"/>
    <w:basedOn w:val="DefaultParagraphFont"/>
    <w:uiPriority w:val="31"/>
    <w:qFormat/>
    <w:rsid w:val="00FC693F"/>
    <w:rPr>
      <w:smallCaps/>
      <w:color w:val="5A5A5A" w:themeColor="text1" w:themeTint="A5"/>
    </w:rPr>
  </w:style>
  <w:style w:type="character" w:styleId="IntenseReference">
    <w:name w:val="Intense Reference"/>
    <w:basedOn w:val="DefaultParagraphFont"/>
    <w:uiPriority w:val="32"/>
    <w:qFormat/>
    <w:rsid w:val="00FC693F"/>
    <w:rPr>
      <w:b/>
      <w:bCs/>
      <w:smallCaps/>
      <w:color w:val="365F91" w:themeColor="accent1" w:themeShade="BF"/>
      <w:spacing w:val="5"/>
    </w:rPr>
  </w:style>
  <w:style w:type="character" w:styleId="BookTitle">
    <w:name w:val="Book Title"/>
    <w:basedOn w:val="DefaultParagraphFont"/>
    <w:uiPriority w:val="33"/>
    <w:qFormat/>
    <w:rsid w:val="00FC693F"/>
    <w:rPr>
      <w:b/>
      <w:bCs/>
      <w:i/>
      <w:iCs/>
      <w:spacing w:val="5"/>
    </w:rPr>
  </w:style>
  <w:style w:type="paragraph" w:styleId="TOCHeading">
    <w:name w:val="TOC Heading"/>
    <w:basedOn w:val="Heading1"/>
    <w:next w:val="Normal"/>
    <w:uiPriority w:val="39"/>
    <w:semiHidden/>
    <w:unhideWhenUsed/>
    <w:qFormat/>
    <w:rsid w:val="00FC693F"/>
    <w:pPr>
      <w:spacing w:before="240" w:after="0"/>
      <w:outlineLvl w:val="9"/>
    </w:pPr>
    <w:rPr>
      <w:sz w:val="32"/>
      <w:szCs w:val="32"/>
    </w:r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CF6884"/>
    <w:pPr>
      <w:autoSpaceDE w:val="0"/>
      <w:autoSpaceDN w:val="0"/>
      <w:adjustRightInd w:val="0"/>
      <w:spacing w:after="0" w:line="240" w:lineRule="auto"/>
    </w:pPr>
    <w:rPr>
      <w:rFonts w:ascii="Segoe UI" w:hAnsi="Segoe UI" w:cs="Segoe UI"/>
      <w:color w:val="000000"/>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b8dee7-c5c5-4689-a3ea-059d8e618814" xsi:nil="true"/>
    <lcf76f155ced4ddcb4097134ff3c332f xmlns="43ebce6f-f856-4143-8e92-9fe0a8162dd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94E7CD5FE1C349BC6C3617F88D5CDE" ma:contentTypeVersion="15" ma:contentTypeDescription="Create a new document." ma:contentTypeScope="" ma:versionID="4a79e7a9f63f384c085571074d8d765e">
  <xsd:schema xmlns:xsd="http://www.w3.org/2001/XMLSchema" xmlns:xs="http://www.w3.org/2001/XMLSchema" xmlns:p="http://schemas.microsoft.com/office/2006/metadata/properties" xmlns:ns2="43ebce6f-f856-4143-8e92-9fe0a8162dd5" xmlns:ns3="4db8dee7-c5c5-4689-a3ea-059d8e618814" targetNamespace="http://schemas.microsoft.com/office/2006/metadata/properties" ma:root="true" ma:fieldsID="a99289d0c0c249e0186736efb16f7858" ns2:_="" ns3:_="">
    <xsd:import namespace="43ebce6f-f856-4143-8e92-9fe0a8162dd5"/>
    <xsd:import namespace="4db8dee7-c5c5-4689-a3ea-059d8e6188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bce6f-f856-4143-8e92-9fe0a8162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9736211-2045-4348-a7f9-f2e7c306211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b8dee7-c5c5-4689-a3ea-059d8e6188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dabf093-50d3-4437-8bed-f232cab0bed2}" ma:internalName="TaxCatchAll" ma:showField="CatchAllData" ma:web="4db8dee7-c5c5-4689-a3ea-059d8e61881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1DEAB-2544-4038-A7C4-F73BD6EADCF7}">
  <ds:schemaRefs>
    <ds:schemaRef ds:uri="http://schemas.microsoft.com/office/2006/metadata/properties"/>
    <ds:schemaRef ds:uri="http://schemas.microsoft.com/office/infopath/2007/PartnerControls"/>
    <ds:schemaRef ds:uri="4db8dee7-c5c5-4689-a3ea-059d8e618814"/>
    <ds:schemaRef ds:uri="43ebce6f-f856-4143-8e92-9fe0a8162dd5"/>
  </ds:schemaRefs>
</ds:datastoreItem>
</file>

<file path=customXml/itemProps2.xml><?xml version="1.0" encoding="utf-8"?>
<ds:datastoreItem xmlns:ds="http://schemas.openxmlformats.org/officeDocument/2006/customXml" ds:itemID="{1A5680C3-6E73-481A-BE7F-C20493D2C644}">
  <ds:schemaRefs>
    <ds:schemaRef ds:uri="http://schemas.microsoft.com/sharepoint/v3/contenttype/forms"/>
  </ds:schemaRefs>
</ds:datastoreItem>
</file>

<file path=customXml/itemProps3.xml><?xml version="1.0" encoding="utf-8"?>
<ds:datastoreItem xmlns:ds="http://schemas.openxmlformats.org/officeDocument/2006/customXml" ds:itemID="{DEAABD25-A4EC-4A84-9A81-40CB62EEA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bce6f-f856-4143-8e92-9fe0a8162dd5"/>
    <ds:schemaRef ds:uri="4db8dee7-c5c5-4689-a3ea-059d8e618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613</Words>
  <Characters>4042</Characters>
  <Application>Microsoft Office Word</Application>
  <DocSecurity>0</DocSecurity>
  <Lines>98</Lines>
  <Paragraphs>60</Paragraphs>
  <ScaleCrop>false</ScaleCrop>
  <Manager/>
  <Company/>
  <LinksUpToDate>false</LinksUpToDate>
  <CharactersWithSpaces>4595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SVarcoe</cp:lastModifiedBy>
  <cp:revision>23</cp:revision>
  <dcterms:created xsi:type="dcterms:W3CDTF">2026-03-18T10:18:00Z</dcterms:created>
  <dcterms:modified xsi:type="dcterms:W3CDTF">2026-03-18T10:36:00Z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0x010100B694E7CD5FE1C349BC6C3617F88D5CDE</vt:lpwstr>
  </property>
  <property fmtid="{D5CDD505-2E9C-101B-9397-08002B2CF9AE}" pid="3" name="MediaServiceImageTags">
    <vt:lpwstr/>
  </property>
</Properties>
</file>