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</w:rPr>
        <w:drawing>
          <wp:inline distB="114300" distT="114300" distL="114300" distR="114300">
            <wp:extent cx="881063" cy="9893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989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Volunteering Checklist: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Clear role description with a</w:t>
      </w:r>
      <w:r w:rsidDel="00000000" w:rsidR="00000000" w:rsidRPr="00000000">
        <w:rPr>
          <w:rFonts w:ascii="Avenir" w:cs="Avenir" w:eastAsia="Avenir" w:hAnsi="Avenir"/>
          <w:rtl w:val="0"/>
        </w:rPr>
        <w:t xml:space="preserve">greed time commitment (short, long, flexible), a start/end date and hours.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Training for volunteers is ready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Volunteering risk assessment has been completed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GDPR policy and privacy notice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Safeguarding policy in place and circulated to all staff and volunteers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Identity checks for new volunteers have been completed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line="240" w:lineRule="auto"/>
        <w:ind w:left="144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DBS when relevant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Health and safety requirements are being met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Public liability insurance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Complaints policy in place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Named support contact for volunteers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Volunteer agreement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Mechanism for volunteers to take sick leave</w:t>
      </w:r>
    </w:p>
    <w:p w:rsidR="00000000" w:rsidDel="00000000" w:rsidP="00000000" w:rsidRDefault="00000000" w:rsidRPr="00000000" w14:paraId="00000010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