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26BF" w14:textId="08218F88" w:rsidR="00D53CB3" w:rsidRPr="000C7866" w:rsidRDefault="00C24C6C">
      <w:pPr>
        <w:rPr>
          <w:rFonts w:ascii="Plus Jakarta Sans" w:hAnsi="Plus Jakarta Sans"/>
        </w:rPr>
      </w:pPr>
      <w:r w:rsidRPr="000C7866">
        <w:rPr>
          <w:rFonts w:ascii="Plus Jakarta Sans" w:hAnsi="Plus Jakarta Sans"/>
          <w:noProof/>
        </w:rPr>
        <w:drawing>
          <wp:inline distT="0" distB="0" distL="0" distR="0" wp14:anchorId="0A8C1479" wp14:editId="3C0C41E1">
            <wp:extent cx="1460665" cy="257412"/>
            <wp:effectExtent l="0" t="0" r="0" b="0"/>
            <wp:docPr id="142017707" name="Picture 1" descr="A black and white image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7707" name="Picture 1" descr="A black and white image of a numb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4741" cy="266942"/>
                    </a:xfrm>
                    <a:prstGeom prst="rect">
                      <a:avLst/>
                    </a:prstGeom>
                  </pic:spPr>
                </pic:pic>
              </a:graphicData>
            </a:graphic>
          </wp:inline>
        </w:drawing>
      </w:r>
    </w:p>
    <w:p w14:paraId="36436631" w14:textId="77777777" w:rsidR="00A34F5A" w:rsidRPr="000C7866" w:rsidRDefault="00A34F5A" w:rsidP="00A60B33">
      <w:pPr>
        <w:pStyle w:val="NormalWeb"/>
        <w:rPr>
          <w:rFonts w:ascii="Plus Jakarta Sans" w:hAnsi="Plus Jakarta Sans"/>
          <w:sz w:val="22"/>
          <w:szCs w:val="22"/>
        </w:rPr>
      </w:pPr>
    </w:p>
    <w:p w14:paraId="6761EF1A" w14:textId="7B3E9EEE" w:rsidR="00A34F5A" w:rsidRPr="000C7866" w:rsidRDefault="000C7866" w:rsidP="00A60B33">
      <w:pPr>
        <w:pStyle w:val="NormalWeb"/>
        <w:rPr>
          <w:rFonts w:ascii="Plus Jakarta Sans" w:hAnsi="Plus Jakarta Sans"/>
          <w:sz w:val="22"/>
          <w:szCs w:val="22"/>
        </w:rPr>
      </w:pPr>
      <w:r w:rsidRPr="000C7866">
        <w:rPr>
          <w:rFonts w:ascii="Plus Jakarta Sans" w:hAnsi="Plus Jakarta Sans"/>
          <w:sz w:val="22"/>
          <w:szCs w:val="22"/>
        </w:rPr>
        <w:t>This Hybrid Work Policy template is ready to be tailored for your company’s needs and should be considered a starting point for setting up clear hybrid work arrangements. The Hybrid Work Policy may also be referred to as a Remote Work Policy, Flexible Work Policy, or Work From Home Policy.</w:t>
      </w:r>
    </w:p>
    <w:p w14:paraId="776248E3" w14:textId="18DFF998" w:rsidR="00C24C6C" w:rsidRPr="000C7866" w:rsidRDefault="000C7866" w:rsidP="00C24C6C">
      <w:pPr>
        <w:spacing w:before="100" w:beforeAutospacing="1" w:after="100" w:afterAutospacing="1" w:line="240" w:lineRule="auto"/>
        <w:outlineLvl w:val="0"/>
        <w:rPr>
          <w:rFonts w:ascii="Plus Jakarta Sans" w:eastAsia="Times New Roman" w:hAnsi="Plus Jakarta Sans" w:cs="Times New Roman"/>
          <w:b/>
          <w:bCs/>
          <w:kern w:val="36"/>
          <w:sz w:val="48"/>
          <w:szCs w:val="48"/>
          <w14:ligatures w14:val="none"/>
        </w:rPr>
      </w:pPr>
      <w:r w:rsidRPr="000C7866">
        <w:rPr>
          <w:rFonts w:ascii="Plus Jakarta Sans" w:eastAsia="Times New Roman" w:hAnsi="Plus Jakarta Sans" w:cs="Times New Roman"/>
          <w:b/>
          <w:bCs/>
          <w:kern w:val="36"/>
          <w:sz w:val="48"/>
          <w:szCs w:val="48"/>
          <w14:ligatures w14:val="none"/>
        </w:rPr>
        <w:t>Hybrid Work</w:t>
      </w:r>
      <w:r w:rsidR="00C24C6C" w:rsidRPr="000C7866">
        <w:rPr>
          <w:rFonts w:ascii="Plus Jakarta Sans" w:eastAsia="Times New Roman" w:hAnsi="Plus Jakarta Sans" w:cs="Times New Roman"/>
          <w:b/>
          <w:bCs/>
          <w:kern w:val="36"/>
          <w:sz w:val="48"/>
          <w:szCs w:val="48"/>
          <w14:ligatures w14:val="none"/>
        </w:rPr>
        <w:t xml:space="preserve"> Policy Template</w:t>
      </w:r>
    </w:p>
    <w:p w14:paraId="405501AA"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1. Purpose &amp; Scope</w:t>
      </w:r>
    </w:p>
    <w:p w14:paraId="182DAE5A" w14:textId="77777777" w:rsidR="000C7866" w:rsidRPr="000C7866" w:rsidRDefault="000C7866" w:rsidP="000C7866">
      <w:p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At elia, we believe hybrid work offers the best of both worlds: flexibility for employees and alignment with business needs. This policy governs hybrid work arrangements and sets expectations for both office and remote work. It applies to all eligible employees whose roles can support remote contributions without compromising service, collaboration, or security.</w:t>
      </w:r>
    </w:p>
    <w:p w14:paraId="2B867323"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2. Definitions</w:t>
      </w:r>
    </w:p>
    <w:p w14:paraId="5FFBC148" w14:textId="77777777" w:rsidR="000C7866" w:rsidRPr="000C7866" w:rsidRDefault="000C7866" w:rsidP="000C7866">
      <w:pPr>
        <w:numPr>
          <w:ilvl w:val="0"/>
          <w:numId w:val="14"/>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Hybrid work: a work model in which employees split time between working in the office and working remotely.</w:t>
      </w:r>
    </w:p>
    <w:p w14:paraId="5832D081" w14:textId="77777777" w:rsidR="000C7866" w:rsidRPr="000C7866" w:rsidRDefault="000C7866" w:rsidP="000C7866">
      <w:pPr>
        <w:numPr>
          <w:ilvl w:val="0"/>
          <w:numId w:val="14"/>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Remote work: work performed outside the company’s primary location (e.g. from home).</w:t>
      </w:r>
    </w:p>
    <w:p w14:paraId="3075CD8A" w14:textId="77777777" w:rsidR="000C7866" w:rsidRPr="000C7866" w:rsidRDefault="000C7866" w:rsidP="000C7866">
      <w:pPr>
        <w:numPr>
          <w:ilvl w:val="0"/>
          <w:numId w:val="14"/>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Eligible employees: those whose job duties permit remote work and whose performance and role meet standards defined in this policy.</w:t>
      </w:r>
    </w:p>
    <w:p w14:paraId="325AF775"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3. Eligibility &amp; Approval</w:t>
      </w:r>
    </w:p>
    <w:p w14:paraId="66D4128D" w14:textId="77777777" w:rsidR="000C7866" w:rsidRPr="000C7866" w:rsidRDefault="000C7866" w:rsidP="000C7866">
      <w:pPr>
        <w:numPr>
          <w:ilvl w:val="0"/>
          <w:numId w:val="15"/>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To be eligible, an employee must meet criteria including stable employee performance, role suitability, and prior tenure (e.g., 3–6 months).</w:t>
      </w:r>
    </w:p>
    <w:p w14:paraId="70D89D43" w14:textId="77777777" w:rsidR="000C7866" w:rsidRPr="000C7866" w:rsidRDefault="000C7866" w:rsidP="000C7866">
      <w:pPr>
        <w:numPr>
          <w:ilvl w:val="0"/>
          <w:numId w:val="15"/>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Managers and the HR department jointly approve hybrid work requests.</w:t>
      </w:r>
    </w:p>
    <w:p w14:paraId="4115FEB6" w14:textId="77777777" w:rsidR="000C7866" w:rsidRPr="000C7866" w:rsidRDefault="000C7866" w:rsidP="000C7866">
      <w:pPr>
        <w:numPr>
          <w:ilvl w:val="0"/>
          <w:numId w:val="15"/>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Employees with active disciplinary actions may be excluded.</w:t>
      </w:r>
    </w:p>
    <w:p w14:paraId="03D97133" w14:textId="77777777" w:rsidR="000C7866" w:rsidRPr="000C7866" w:rsidRDefault="000C7866" w:rsidP="000C7866">
      <w:pPr>
        <w:numPr>
          <w:ilvl w:val="0"/>
          <w:numId w:val="15"/>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Approval is not permanent; we may revoke or modify hybrid arrangements based on business needs or performance concerns.</w:t>
      </w:r>
    </w:p>
    <w:p w14:paraId="47D86647"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4. Work Schedule &amp; Office Presence</w:t>
      </w:r>
    </w:p>
    <w:p w14:paraId="53D886D6" w14:textId="77777777" w:rsidR="000C7866" w:rsidRPr="000C7866" w:rsidRDefault="000C7866" w:rsidP="000C7866">
      <w:pPr>
        <w:numPr>
          <w:ilvl w:val="0"/>
          <w:numId w:val="16"/>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Each hybrid employee will establish a hybrid schedule in consultation with their supervisor.</w:t>
      </w:r>
    </w:p>
    <w:p w14:paraId="34B99FCD" w14:textId="77777777" w:rsidR="000C7866" w:rsidRPr="000C7866" w:rsidRDefault="000C7866" w:rsidP="000C7866">
      <w:pPr>
        <w:numPr>
          <w:ilvl w:val="0"/>
          <w:numId w:val="16"/>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We define core hours (e.g., 10 a.m.–3 p.m.) during which all employees must be reachable, regardless of location.</w:t>
      </w:r>
    </w:p>
    <w:p w14:paraId="50345011" w14:textId="77777777" w:rsidR="000C7866" w:rsidRPr="000C7866" w:rsidRDefault="000C7866" w:rsidP="000C7866">
      <w:pPr>
        <w:numPr>
          <w:ilvl w:val="0"/>
          <w:numId w:val="16"/>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lastRenderedPageBreak/>
        <w:t>Employees should maintain a minimum number of regularly scheduled office days (e.g., two or three per week), unless otherwise approved.</w:t>
      </w:r>
    </w:p>
    <w:p w14:paraId="01F078CB" w14:textId="77777777" w:rsidR="000C7866" w:rsidRPr="000C7866" w:rsidRDefault="000C7866" w:rsidP="000C7866">
      <w:pPr>
        <w:numPr>
          <w:ilvl w:val="0"/>
          <w:numId w:val="16"/>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Business needs may require additional in-office days; the company reserves the right to adjust schedules.</w:t>
      </w:r>
    </w:p>
    <w:p w14:paraId="0156A458"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5. Remote Work Location &amp; Workspace Standards</w:t>
      </w:r>
    </w:p>
    <w:p w14:paraId="73EB77F8" w14:textId="77777777" w:rsidR="000C7866" w:rsidRPr="000C7866" w:rsidRDefault="000C7866" w:rsidP="000C7866">
      <w:pPr>
        <w:numPr>
          <w:ilvl w:val="0"/>
          <w:numId w:val="17"/>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Remote employees must maintain a safe, quiet, and suitable remote workspace free from distractions.</w:t>
      </w:r>
    </w:p>
    <w:p w14:paraId="2B66582E" w14:textId="77777777" w:rsidR="000C7866" w:rsidRPr="000C7866" w:rsidRDefault="000C7866" w:rsidP="000C7866">
      <w:pPr>
        <w:numPr>
          <w:ilvl w:val="0"/>
          <w:numId w:val="17"/>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The company may provide key equipment (e.g. laptop, monitor, VPN access) and will reimburse employees for preapproved expenses (e.g. internet, phone service) when applicable.</w:t>
      </w:r>
    </w:p>
    <w:p w14:paraId="1051A35F" w14:textId="77777777" w:rsidR="000C7866" w:rsidRPr="000C7866" w:rsidRDefault="000C7866" w:rsidP="000C7866">
      <w:pPr>
        <w:numPr>
          <w:ilvl w:val="0"/>
          <w:numId w:val="17"/>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Remote work from locations other than home (e.g. coworking spaces) is subject to prior approval and must meet the same standards for data security and confidentiality.</w:t>
      </w:r>
    </w:p>
    <w:p w14:paraId="26F53201"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6. Communication &amp; Technology</w:t>
      </w:r>
    </w:p>
    <w:p w14:paraId="278C1693" w14:textId="77777777" w:rsidR="000C7866" w:rsidRPr="000C7866" w:rsidRDefault="000C7866" w:rsidP="000C7866">
      <w:pPr>
        <w:numPr>
          <w:ilvl w:val="0"/>
          <w:numId w:val="18"/>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Employees must use our approved communication tools (e.g. Slack or Microsoft Teams) and respond in agreed windows during normal business hours.</w:t>
      </w:r>
    </w:p>
    <w:p w14:paraId="444AC072" w14:textId="77777777" w:rsidR="000C7866" w:rsidRPr="000C7866" w:rsidRDefault="000C7866" w:rsidP="000C7866">
      <w:pPr>
        <w:numPr>
          <w:ilvl w:val="0"/>
          <w:numId w:val="18"/>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In person meetings, group sessions, or all-hands gatherings may require presence in office; employees will be informed in advance.</w:t>
      </w:r>
    </w:p>
    <w:p w14:paraId="02C5B45A" w14:textId="77777777" w:rsidR="000C7866" w:rsidRPr="000C7866" w:rsidRDefault="000C7866" w:rsidP="000C7866">
      <w:pPr>
        <w:numPr>
          <w:ilvl w:val="0"/>
          <w:numId w:val="18"/>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Use of audio/video conferencing, shared project tools, and collaboration protocols is mandatory.</w:t>
      </w:r>
    </w:p>
    <w:p w14:paraId="75A4997D"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7. Performance Management &amp; Accountability</w:t>
      </w:r>
    </w:p>
    <w:p w14:paraId="46A1447A" w14:textId="77777777" w:rsidR="000C7866" w:rsidRPr="000C7866" w:rsidRDefault="000C7866" w:rsidP="000C7866">
      <w:pPr>
        <w:numPr>
          <w:ilvl w:val="0"/>
          <w:numId w:val="19"/>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Employees are evaluated by outcomes, goals, and agreed KPIs, not simply presence. Strong employee performance is expected regardless of location.</w:t>
      </w:r>
    </w:p>
    <w:p w14:paraId="33CCD4A9" w14:textId="77777777" w:rsidR="000C7866" w:rsidRPr="000C7866" w:rsidRDefault="000C7866" w:rsidP="000C7866">
      <w:pPr>
        <w:numPr>
          <w:ilvl w:val="0"/>
          <w:numId w:val="19"/>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If performance concerns arise, a corrective or growth plan (sometimes called a performance improvement plan) may be initiated.</w:t>
      </w:r>
    </w:p>
    <w:p w14:paraId="54073727" w14:textId="77777777" w:rsidR="000C7866" w:rsidRPr="000C7866" w:rsidRDefault="000C7866" w:rsidP="000C7866">
      <w:pPr>
        <w:numPr>
          <w:ilvl w:val="0"/>
          <w:numId w:val="19"/>
        </w:numPr>
        <w:spacing w:before="100" w:beforeAutospacing="1" w:after="100" w:afterAutospacing="1" w:line="240" w:lineRule="auto"/>
        <w:rPr>
          <w:rFonts w:ascii="Plus Jakarta Sans" w:eastAsia="Times New Roman" w:hAnsi="Plus Jakarta Sans" w:cs="Times New Roman"/>
          <w:kern w:val="0"/>
          <w14:ligatures w14:val="none"/>
        </w:rPr>
      </w:pPr>
      <w:r w:rsidRPr="000C7866">
        <w:rPr>
          <w:rFonts w:ascii="Plus Jakarta Sans" w:eastAsia="Times New Roman" w:hAnsi="Plus Jakarta Sans" w:cs="Times New Roman"/>
          <w:kern w:val="0"/>
          <w:sz w:val="22"/>
          <w:szCs w:val="22"/>
          <w14:ligatures w14:val="none"/>
        </w:rPr>
        <w:t>Supervisors must document feedback, check-ins, and escalation steps for hybrid and remote employees alike</w:t>
      </w:r>
      <w:r w:rsidRPr="000C7866">
        <w:rPr>
          <w:rFonts w:ascii="Plus Jakarta Sans" w:eastAsia="Times New Roman" w:hAnsi="Plus Jakarta Sans" w:cs="Times New Roman"/>
          <w:kern w:val="0"/>
          <w14:ligatures w14:val="none"/>
        </w:rPr>
        <w:t>.</w:t>
      </w:r>
    </w:p>
    <w:p w14:paraId="33DBB241"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8. Legal, Compliance &amp; Safety</w:t>
      </w:r>
    </w:p>
    <w:p w14:paraId="0E522E59" w14:textId="77777777" w:rsidR="000C7866" w:rsidRPr="000C7866" w:rsidRDefault="000C7866" w:rsidP="000C7866">
      <w:pPr>
        <w:numPr>
          <w:ilvl w:val="0"/>
          <w:numId w:val="20"/>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Remote employees are covered under workers’ compensation for approved remote work hours, consistent with local laws.</w:t>
      </w:r>
    </w:p>
    <w:p w14:paraId="01C8D1CB" w14:textId="77777777" w:rsidR="000C7866" w:rsidRPr="000C7866" w:rsidRDefault="000C7866" w:rsidP="000C7866">
      <w:pPr>
        <w:numPr>
          <w:ilvl w:val="0"/>
          <w:numId w:val="20"/>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 xml:space="preserve">The policy respects overtime rules for </w:t>
      </w:r>
      <w:proofErr w:type="spellStart"/>
      <w:r w:rsidRPr="000C7866">
        <w:rPr>
          <w:rFonts w:ascii="Plus Jakarta Sans" w:eastAsia="Times New Roman" w:hAnsi="Plus Jakarta Sans" w:cs="Times New Roman"/>
          <w:kern w:val="0"/>
          <w:sz w:val="22"/>
          <w:szCs w:val="22"/>
          <w14:ligatures w14:val="none"/>
        </w:rPr>
        <w:t>nonexempt</w:t>
      </w:r>
      <w:proofErr w:type="spellEnd"/>
      <w:r w:rsidRPr="000C7866">
        <w:rPr>
          <w:rFonts w:ascii="Plus Jakarta Sans" w:eastAsia="Times New Roman" w:hAnsi="Plus Jakarta Sans" w:cs="Times New Roman"/>
          <w:kern w:val="0"/>
          <w:sz w:val="22"/>
          <w:szCs w:val="22"/>
          <w14:ligatures w14:val="none"/>
        </w:rPr>
        <w:t xml:space="preserve"> employees, required rest periods, and other labor laws.</w:t>
      </w:r>
    </w:p>
    <w:p w14:paraId="10251AD6" w14:textId="77777777" w:rsidR="000C7866" w:rsidRPr="000C7866" w:rsidRDefault="000C7866" w:rsidP="000C7866">
      <w:pPr>
        <w:numPr>
          <w:ilvl w:val="0"/>
          <w:numId w:val="20"/>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For employees working across states or provinces, we will monitor tax, employment, and liability implications.</w:t>
      </w:r>
    </w:p>
    <w:p w14:paraId="7A833F29" w14:textId="77777777" w:rsidR="000C7866" w:rsidRPr="000C7866" w:rsidRDefault="000C7866" w:rsidP="000C7866">
      <w:pPr>
        <w:numPr>
          <w:ilvl w:val="0"/>
          <w:numId w:val="20"/>
        </w:numPr>
        <w:spacing w:before="100" w:beforeAutospacing="1" w:after="100" w:afterAutospacing="1" w:line="240" w:lineRule="auto"/>
        <w:rPr>
          <w:rFonts w:ascii="Plus Jakarta Sans" w:eastAsia="Times New Roman" w:hAnsi="Plus Jakarta Sans" w:cs="Times New Roman"/>
          <w:kern w:val="0"/>
          <w14:ligatures w14:val="none"/>
        </w:rPr>
      </w:pPr>
      <w:r w:rsidRPr="000C7866">
        <w:rPr>
          <w:rFonts w:ascii="Plus Jakarta Sans" w:eastAsia="Times New Roman" w:hAnsi="Plus Jakarta Sans" w:cs="Times New Roman"/>
          <w:kern w:val="0"/>
          <w:sz w:val="22"/>
          <w:szCs w:val="22"/>
          <w14:ligatures w14:val="none"/>
        </w:rPr>
        <w:t>Records of hybrid work requests, approvals, and changes will be retained in HR files</w:t>
      </w:r>
      <w:r w:rsidRPr="000C7866">
        <w:rPr>
          <w:rFonts w:ascii="Plus Jakarta Sans" w:eastAsia="Times New Roman" w:hAnsi="Plus Jakarta Sans" w:cs="Times New Roman"/>
          <w:kern w:val="0"/>
          <w14:ligatures w14:val="none"/>
        </w:rPr>
        <w:t>.</w:t>
      </w:r>
    </w:p>
    <w:p w14:paraId="181AFA50"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9. Security &amp; Confidentiality</w:t>
      </w:r>
    </w:p>
    <w:p w14:paraId="5E0190A0" w14:textId="77777777" w:rsidR="000C7866" w:rsidRPr="000C7866" w:rsidRDefault="000C7866" w:rsidP="000C7866">
      <w:pPr>
        <w:numPr>
          <w:ilvl w:val="0"/>
          <w:numId w:val="21"/>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lastRenderedPageBreak/>
        <w:t>All employees must adhere to our data security protocols: VPN, multi-factor authentication, secure storage, etc.</w:t>
      </w:r>
    </w:p>
    <w:p w14:paraId="7D16217D" w14:textId="77777777" w:rsidR="000C7866" w:rsidRPr="000C7866" w:rsidRDefault="000C7866" w:rsidP="000C7866">
      <w:pPr>
        <w:numPr>
          <w:ilvl w:val="0"/>
          <w:numId w:val="21"/>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 xml:space="preserve">Confidential information must be </w:t>
      </w:r>
      <w:proofErr w:type="gramStart"/>
      <w:r w:rsidRPr="000C7866">
        <w:rPr>
          <w:rFonts w:ascii="Plus Jakarta Sans" w:eastAsia="Times New Roman" w:hAnsi="Plus Jakarta Sans" w:cs="Times New Roman"/>
          <w:kern w:val="0"/>
          <w:sz w:val="22"/>
          <w:szCs w:val="22"/>
          <w14:ligatures w14:val="none"/>
        </w:rPr>
        <w:t>protected at all times</w:t>
      </w:r>
      <w:proofErr w:type="gramEnd"/>
      <w:r w:rsidRPr="000C7866">
        <w:rPr>
          <w:rFonts w:ascii="Plus Jakarta Sans" w:eastAsia="Times New Roman" w:hAnsi="Plus Jakarta Sans" w:cs="Times New Roman"/>
          <w:kern w:val="0"/>
          <w:sz w:val="22"/>
          <w:szCs w:val="22"/>
          <w14:ligatures w14:val="none"/>
        </w:rPr>
        <w:t>, whether in office or remote.</w:t>
      </w:r>
    </w:p>
    <w:p w14:paraId="550FB0AB" w14:textId="77777777" w:rsidR="000C7866" w:rsidRPr="000C7866" w:rsidRDefault="000C7866" w:rsidP="000C7866">
      <w:pPr>
        <w:numPr>
          <w:ilvl w:val="0"/>
          <w:numId w:val="21"/>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Equipment usage, return policies, and incident reporting procedures are clearly defined.</w:t>
      </w:r>
    </w:p>
    <w:p w14:paraId="55F97E7D" w14:textId="77777777" w:rsidR="000C7866" w:rsidRPr="000C7866" w:rsidRDefault="000C7866" w:rsidP="000C7866">
      <w:pPr>
        <w:numPr>
          <w:ilvl w:val="0"/>
          <w:numId w:val="21"/>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Employees should not perform non-company or personal business during core work hours unless explicitly permitted.</w:t>
      </w:r>
    </w:p>
    <w:p w14:paraId="5F76709A"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10. Trial Period &amp; Review</w:t>
      </w:r>
    </w:p>
    <w:p w14:paraId="5DCAB310" w14:textId="77777777" w:rsidR="000C7866" w:rsidRPr="000C7866" w:rsidRDefault="000C7866" w:rsidP="000C7866">
      <w:pPr>
        <w:numPr>
          <w:ilvl w:val="0"/>
          <w:numId w:val="22"/>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Each approved hybrid arrangement begins with a trial period (e.g. 3 months) during which performance, feedback, and operational impact are evaluated.</w:t>
      </w:r>
    </w:p>
    <w:p w14:paraId="444454F6" w14:textId="77777777" w:rsidR="000C7866" w:rsidRPr="000C7866" w:rsidRDefault="000C7866" w:rsidP="000C7866">
      <w:pPr>
        <w:numPr>
          <w:ilvl w:val="0"/>
          <w:numId w:val="22"/>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The policy will be reviewed annually (or more frequently) based on feedback, metrics, and evolving business needs.</w:t>
      </w:r>
    </w:p>
    <w:p w14:paraId="0C7C4DA4" w14:textId="77777777" w:rsidR="000C7866" w:rsidRPr="000C7866" w:rsidRDefault="000C7866" w:rsidP="000C7866">
      <w:pPr>
        <w:spacing w:before="100" w:beforeAutospacing="1" w:after="100" w:afterAutospacing="1" w:line="240" w:lineRule="auto"/>
        <w:outlineLvl w:val="2"/>
        <w:rPr>
          <w:rFonts w:ascii="Plus Jakarta Sans" w:eastAsia="Times New Roman" w:hAnsi="Plus Jakarta Sans" w:cs="Times New Roman"/>
          <w:b/>
          <w:bCs/>
          <w:kern w:val="0"/>
          <w:sz w:val="27"/>
          <w:szCs w:val="27"/>
          <w14:ligatures w14:val="none"/>
        </w:rPr>
      </w:pPr>
      <w:r w:rsidRPr="000C7866">
        <w:rPr>
          <w:rFonts w:ascii="Plus Jakarta Sans" w:eastAsia="Times New Roman" w:hAnsi="Plus Jakarta Sans" w:cs="Times New Roman"/>
          <w:b/>
          <w:bCs/>
          <w:kern w:val="0"/>
          <w:sz w:val="27"/>
          <w:szCs w:val="27"/>
          <w14:ligatures w14:val="none"/>
        </w:rPr>
        <w:t>11. Policy Changes &amp; Exceptions</w:t>
      </w:r>
    </w:p>
    <w:p w14:paraId="17BB521D" w14:textId="77777777" w:rsidR="000C7866" w:rsidRPr="000C7866" w:rsidRDefault="000C7866" w:rsidP="000C7866">
      <w:pPr>
        <w:numPr>
          <w:ilvl w:val="0"/>
          <w:numId w:val="23"/>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This policy may be amended over time; all employees will be notified of changes.</w:t>
      </w:r>
    </w:p>
    <w:p w14:paraId="0849EB98" w14:textId="77777777" w:rsidR="000C7866" w:rsidRPr="000C7866" w:rsidRDefault="000C7866" w:rsidP="000C7866">
      <w:pPr>
        <w:numPr>
          <w:ilvl w:val="0"/>
          <w:numId w:val="23"/>
        </w:numPr>
        <w:spacing w:before="100" w:beforeAutospacing="1" w:after="100" w:afterAutospacing="1" w:line="240" w:lineRule="auto"/>
        <w:rPr>
          <w:rFonts w:ascii="Plus Jakarta Sans" w:eastAsia="Times New Roman" w:hAnsi="Plus Jakarta Sans" w:cs="Times New Roman"/>
          <w:kern w:val="0"/>
          <w:sz w:val="22"/>
          <w:szCs w:val="22"/>
          <w14:ligatures w14:val="none"/>
        </w:rPr>
      </w:pPr>
      <w:r w:rsidRPr="000C7866">
        <w:rPr>
          <w:rFonts w:ascii="Plus Jakarta Sans" w:eastAsia="Times New Roman" w:hAnsi="Plus Jakarta Sans" w:cs="Times New Roman"/>
          <w:kern w:val="0"/>
          <w:sz w:val="22"/>
          <w:szCs w:val="22"/>
          <w14:ligatures w14:val="none"/>
        </w:rPr>
        <w:t>Exceptions may be granted when business conditions or job demands require special treatment, subject to management and HR approval.</w:t>
      </w:r>
    </w:p>
    <w:p w14:paraId="32064467" w14:textId="641E8BFB" w:rsidR="00C24C6C" w:rsidRPr="000C7866" w:rsidRDefault="00C24C6C" w:rsidP="000C7866">
      <w:pPr>
        <w:spacing w:before="100" w:beforeAutospacing="1" w:after="100" w:afterAutospacing="1" w:line="240" w:lineRule="auto"/>
        <w:rPr>
          <w:rFonts w:ascii="Plus Jakarta Sans" w:eastAsia="Times New Roman" w:hAnsi="Plus Jakarta Sans" w:cs="Times New Roman"/>
          <w:kern w:val="0"/>
          <w:sz w:val="22"/>
          <w:szCs w:val="22"/>
          <w14:ligatures w14:val="none"/>
        </w:rPr>
      </w:pPr>
    </w:p>
    <w:sectPr w:rsidR="00C24C6C" w:rsidRPr="000C786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620A" w14:textId="77777777" w:rsidR="003F3156" w:rsidRDefault="003F3156" w:rsidP="00A34F5A">
      <w:pPr>
        <w:spacing w:after="0" w:line="240" w:lineRule="auto"/>
      </w:pPr>
      <w:r>
        <w:separator/>
      </w:r>
    </w:p>
  </w:endnote>
  <w:endnote w:type="continuationSeparator" w:id="0">
    <w:p w14:paraId="46FA9AE7" w14:textId="77777777" w:rsidR="003F3156" w:rsidRDefault="003F3156" w:rsidP="00A3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lus Jakarta Sans">
    <w:panose1 w:val="00000000000000000000"/>
    <w:charset w:val="4D"/>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9FE" w14:textId="46DC7C9B" w:rsidR="00A34F5A" w:rsidRPr="000C7866" w:rsidRDefault="000C7866" w:rsidP="000C7866">
    <w:pPr>
      <w:pStyle w:val="Footer"/>
    </w:pPr>
    <w:r w:rsidRPr="000C7866">
      <w:rPr>
        <w:rFonts w:ascii="Plus Jakarta Sans" w:hAnsi="Plus Jakarta Sans"/>
        <w:sz w:val="20"/>
        <w:szCs w:val="20"/>
      </w:rPr>
      <w:t xml:space="preserve">Take the hassle out of hybrid work — explore </w:t>
    </w:r>
    <w:hyperlink r:id="rId1" w:history="1">
      <w:r w:rsidRPr="000C7866">
        <w:rPr>
          <w:rStyle w:val="Hyperlink"/>
          <w:rFonts w:ascii="Plus Jakarta Sans" w:hAnsi="Plus Jakarta Sans"/>
          <w:sz w:val="20"/>
          <w:szCs w:val="20"/>
        </w:rPr>
        <w:t xml:space="preserve">elia Hybrid </w:t>
      </w:r>
      <w:r w:rsidRPr="000C7866">
        <w:rPr>
          <w:rStyle w:val="Hyperlink"/>
          <w:rFonts w:ascii="Plus Jakarta Sans" w:hAnsi="Plus Jakarta Sans"/>
          <w:sz w:val="20"/>
          <w:szCs w:val="20"/>
        </w:rPr>
        <w:t>Office</w:t>
      </w:r>
      <w:r w:rsidRPr="000C7866">
        <w:rPr>
          <w:rStyle w:val="Hyperlink"/>
          <w:rFonts w:ascii="Plus Jakarta Sans" w:hAnsi="Plus Jakarta Sans"/>
          <w:sz w:val="20"/>
          <w:szCs w:val="20"/>
        </w:rPr>
        <w:t xml:space="preserve"> Management</w:t>
      </w:r>
    </w:hyperlink>
    <w:r w:rsidRPr="000C7866">
      <w:rPr>
        <w:rFonts w:ascii="Plus Jakarta Sans" w:hAnsi="Plus Jakarta San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B1E9" w14:textId="77777777" w:rsidR="003F3156" w:rsidRDefault="003F3156" w:rsidP="00A34F5A">
      <w:pPr>
        <w:spacing w:after="0" w:line="240" w:lineRule="auto"/>
      </w:pPr>
      <w:r>
        <w:separator/>
      </w:r>
    </w:p>
  </w:footnote>
  <w:footnote w:type="continuationSeparator" w:id="0">
    <w:p w14:paraId="524C7CE5" w14:textId="77777777" w:rsidR="003F3156" w:rsidRDefault="003F3156" w:rsidP="00A34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905"/>
    <w:multiLevelType w:val="multilevel"/>
    <w:tmpl w:val="1532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3A4E"/>
    <w:multiLevelType w:val="multilevel"/>
    <w:tmpl w:val="F23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1DF8"/>
    <w:multiLevelType w:val="multilevel"/>
    <w:tmpl w:val="D5F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CD6"/>
    <w:multiLevelType w:val="multilevel"/>
    <w:tmpl w:val="DAE0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C024D"/>
    <w:multiLevelType w:val="multilevel"/>
    <w:tmpl w:val="D584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91915"/>
    <w:multiLevelType w:val="multilevel"/>
    <w:tmpl w:val="D6C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E398B"/>
    <w:multiLevelType w:val="multilevel"/>
    <w:tmpl w:val="8DF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D6B89"/>
    <w:multiLevelType w:val="multilevel"/>
    <w:tmpl w:val="7B6C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45281"/>
    <w:multiLevelType w:val="multilevel"/>
    <w:tmpl w:val="BAE4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D3A2D"/>
    <w:multiLevelType w:val="multilevel"/>
    <w:tmpl w:val="118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820FF"/>
    <w:multiLevelType w:val="multilevel"/>
    <w:tmpl w:val="FDC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E647B"/>
    <w:multiLevelType w:val="multilevel"/>
    <w:tmpl w:val="0E7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83509"/>
    <w:multiLevelType w:val="multilevel"/>
    <w:tmpl w:val="8EA2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A0E21"/>
    <w:multiLevelType w:val="multilevel"/>
    <w:tmpl w:val="917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65433"/>
    <w:multiLevelType w:val="multilevel"/>
    <w:tmpl w:val="DB4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91081"/>
    <w:multiLevelType w:val="multilevel"/>
    <w:tmpl w:val="A4FE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E5978"/>
    <w:multiLevelType w:val="multilevel"/>
    <w:tmpl w:val="341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E4568"/>
    <w:multiLevelType w:val="multilevel"/>
    <w:tmpl w:val="BCA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D4408B"/>
    <w:multiLevelType w:val="multilevel"/>
    <w:tmpl w:val="8B5C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E6478"/>
    <w:multiLevelType w:val="multilevel"/>
    <w:tmpl w:val="2368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36D3B"/>
    <w:multiLevelType w:val="multilevel"/>
    <w:tmpl w:val="93C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A2C7F"/>
    <w:multiLevelType w:val="multilevel"/>
    <w:tmpl w:val="6CF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0554FA"/>
    <w:multiLevelType w:val="multilevel"/>
    <w:tmpl w:val="80BC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320195">
    <w:abstractNumId w:val="15"/>
  </w:num>
  <w:num w:numId="2" w16cid:durableId="1377973192">
    <w:abstractNumId w:val="17"/>
  </w:num>
  <w:num w:numId="3" w16cid:durableId="2053192314">
    <w:abstractNumId w:val="8"/>
  </w:num>
  <w:num w:numId="4" w16cid:durableId="1154879540">
    <w:abstractNumId w:val="0"/>
  </w:num>
  <w:num w:numId="5" w16cid:durableId="845678940">
    <w:abstractNumId w:val="9"/>
  </w:num>
  <w:num w:numId="6" w16cid:durableId="885679210">
    <w:abstractNumId w:val="13"/>
  </w:num>
  <w:num w:numId="7" w16cid:durableId="264847050">
    <w:abstractNumId w:val="1"/>
  </w:num>
  <w:num w:numId="8" w16cid:durableId="1447701504">
    <w:abstractNumId w:val="5"/>
  </w:num>
  <w:num w:numId="9" w16cid:durableId="631908210">
    <w:abstractNumId w:val="11"/>
  </w:num>
  <w:num w:numId="10" w16cid:durableId="106002898">
    <w:abstractNumId w:val="20"/>
  </w:num>
  <w:num w:numId="11" w16cid:durableId="32657061">
    <w:abstractNumId w:val="2"/>
  </w:num>
  <w:num w:numId="12" w16cid:durableId="94444614">
    <w:abstractNumId w:val="7"/>
  </w:num>
  <w:num w:numId="13" w16cid:durableId="1496526767">
    <w:abstractNumId w:val="21"/>
  </w:num>
  <w:num w:numId="14" w16cid:durableId="2146653382">
    <w:abstractNumId w:val="19"/>
  </w:num>
  <w:num w:numId="15" w16cid:durableId="665477071">
    <w:abstractNumId w:val="16"/>
  </w:num>
  <w:num w:numId="16" w16cid:durableId="1197428566">
    <w:abstractNumId w:val="10"/>
  </w:num>
  <w:num w:numId="17" w16cid:durableId="1967854719">
    <w:abstractNumId w:val="18"/>
  </w:num>
  <w:num w:numId="18" w16cid:durableId="1863854836">
    <w:abstractNumId w:val="3"/>
  </w:num>
  <w:num w:numId="19" w16cid:durableId="279531459">
    <w:abstractNumId w:val="22"/>
  </w:num>
  <w:num w:numId="20" w16cid:durableId="1663701676">
    <w:abstractNumId w:val="6"/>
  </w:num>
  <w:num w:numId="21" w16cid:durableId="857813944">
    <w:abstractNumId w:val="4"/>
  </w:num>
  <w:num w:numId="22" w16cid:durableId="2039425318">
    <w:abstractNumId w:val="12"/>
  </w:num>
  <w:num w:numId="23" w16cid:durableId="1663340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6C"/>
    <w:rsid w:val="00057C40"/>
    <w:rsid w:val="000C7866"/>
    <w:rsid w:val="002952E4"/>
    <w:rsid w:val="00375EB5"/>
    <w:rsid w:val="003F3156"/>
    <w:rsid w:val="00486D51"/>
    <w:rsid w:val="004D5BD9"/>
    <w:rsid w:val="008239B7"/>
    <w:rsid w:val="008803C0"/>
    <w:rsid w:val="00A34F5A"/>
    <w:rsid w:val="00A60B33"/>
    <w:rsid w:val="00AB3B93"/>
    <w:rsid w:val="00BA4B81"/>
    <w:rsid w:val="00C24C6C"/>
    <w:rsid w:val="00D30AF7"/>
    <w:rsid w:val="00D53CB3"/>
    <w:rsid w:val="00DA7040"/>
    <w:rsid w:val="00DB0596"/>
    <w:rsid w:val="00EE5E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FD89"/>
  <w15:chartTrackingRefBased/>
  <w15:docId w15:val="{BE54F73D-BADB-2141-B597-C85C414F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4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4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4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C6C"/>
    <w:rPr>
      <w:rFonts w:eastAsiaTheme="majorEastAsia" w:cstheme="majorBidi"/>
      <w:color w:val="272727" w:themeColor="text1" w:themeTint="D8"/>
    </w:rPr>
  </w:style>
  <w:style w:type="paragraph" w:styleId="Title">
    <w:name w:val="Title"/>
    <w:basedOn w:val="Normal"/>
    <w:next w:val="Normal"/>
    <w:link w:val="TitleChar"/>
    <w:uiPriority w:val="10"/>
    <w:qFormat/>
    <w:rsid w:val="00C24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C6C"/>
    <w:pPr>
      <w:spacing w:before="160"/>
      <w:jc w:val="center"/>
    </w:pPr>
    <w:rPr>
      <w:i/>
      <w:iCs/>
      <w:color w:val="404040" w:themeColor="text1" w:themeTint="BF"/>
    </w:rPr>
  </w:style>
  <w:style w:type="character" w:customStyle="1" w:styleId="QuoteChar">
    <w:name w:val="Quote Char"/>
    <w:basedOn w:val="DefaultParagraphFont"/>
    <w:link w:val="Quote"/>
    <w:uiPriority w:val="29"/>
    <w:rsid w:val="00C24C6C"/>
    <w:rPr>
      <w:i/>
      <w:iCs/>
      <w:color w:val="404040" w:themeColor="text1" w:themeTint="BF"/>
    </w:rPr>
  </w:style>
  <w:style w:type="paragraph" w:styleId="ListParagraph">
    <w:name w:val="List Paragraph"/>
    <w:basedOn w:val="Normal"/>
    <w:uiPriority w:val="34"/>
    <w:qFormat/>
    <w:rsid w:val="00C24C6C"/>
    <w:pPr>
      <w:ind w:left="720"/>
      <w:contextualSpacing/>
    </w:pPr>
  </w:style>
  <w:style w:type="character" w:styleId="IntenseEmphasis">
    <w:name w:val="Intense Emphasis"/>
    <w:basedOn w:val="DefaultParagraphFont"/>
    <w:uiPriority w:val="21"/>
    <w:qFormat/>
    <w:rsid w:val="00C24C6C"/>
    <w:rPr>
      <w:i/>
      <w:iCs/>
      <w:color w:val="0F4761" w:themeColor="accent1" w:themeShade="BF"/>
    </w:rPr>
  </w:style>
  <w:style w:type="paragraph" w:styleId="IntenseQuote">
    <w:name w:val="Intense Quote"/>
    <w:basedOn w:val="Normal"/>
    <w:next w:val="Normal"/>
    <w:link w:val="IntenseQuoteChar"/>
    <w:uiPriority w:val="30"/>
    <w:qFormat/>
    <w:rsid w:val="00C24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C6C"/>
    <w:rPr>
      <w:i/>
      <w:iCs/>
      <w:color w:val="0F4761" w:themeColor="accent1" w:themeShade="BF"/>
    </w:rPr>
  </w:style>
  <w:style w:type="character" w:styleId="IntenseReference">
    <w:name w:val="Intense Reference"/>
    <w:basedOn w:val="DefaultParagraphFont"/>
    <w:uiPriority w:val="32"/>
    <w:qFormat/>
    <w:rsid w:val="00C24C6C"/>
    <w:rPr>
      <w:b/>
      <w:bCs/>
      <w:smallCaps/>
      <w:color w:val="0F4761" w:themeColor="accent1" w:themeShade="BF"/>
      <w:spacing w:val="5"/>
    </w:rPr>
  </w:style>
  <w:style w:type="paragraph" w:styleId="NormalWeb">
    <w:name w:val="Normal (Web)"/>
    <w:basedOn w:val="Normal"/>
    <w:uiPriority w:val="99"/>
    <w:unhideWhenUsed/>
    <w:rsid w:val="00C24C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4C6C"/>
    <w:rPr>
      <w:b/>
      <w:bCs/>
    </w:rPr>
  </w:style>
  <w:style w:type="paragraph" w:styleId="Header">
    <w:name w:val="header"/>
    <w:basedOn w:val="Normal"/>
    <w:link w:val="HeaderChar"/>
    <w:uiPriority w:val="99"/>
    <w:unhideWhenUsed/>
    <w:rsid w:val="00A3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F5A"/>
  </w:style>
  <w:style w:type="paragraph" w:styleId="Footer">
    <w:name w:val="footer"/>
    <w:basedOn w:val="Normal"/>
    <w:link w:val="FooterChar"/>
    <w:uiPriority w:val="99"/>
    <w:unhideWhenUsed/>
    <w:rsid w:val="00A3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F5A"/>
  </w:style>
  <w:style w:type="character" w:styleId="Hyperlink">
    <w:name w:val="Hyperlink"/>
    <w:basedOn w:val="DefaultParagraphFont"/>
    <w:uiPriority w:val="99"/>
    <w:unhideWhenUsed/>
    <w:rsid w:val="00A34F5A"/>
    <w:rPr>
      <w:color w:val="467886" w:themeColor="hyperlink"/>
      <w:u w:val="single"/>
    </w:rPr>
  </w:style>
  <w:style w:type="character" w:styleId="UnresolvedMention">
    <w:name w:val="Unresolved Mention"/>
    <w:basedOn w:val="DefaultParagraphFont"/>
    <w:uiPriority w:val="99"/>
    <w:semiHidden/>
    <w:unhideWhenUsed/>
    <w:rsid w:val="00A3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elia.io/hybrid-office-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Bergeron</dc:creator>
  <cp:keywords/>
  <dc:description/>
  <cp:lastModifiedBy>Alexandra Bergeron</cp:lastModifiedBy>
  <cp:revision>3</cp:revision>
  <dcterms:created xsi:type="dcterms:W3CDTF">2025-09-26T16:35:00Z</dcterms:created>
  <dcterms:modified xsi:type="dcterms:W3CDTF">2025-09-26T18:22:00Z</dcterms:modified>
</cp:coreProperties>
</file>