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The Urgency of Trusting God in Spiritual Storms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Mark 4:35-41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This outline follows a three-point structure, with each point starting with the same letter 'R' to create a sense of cohesion and clarity in the sermon.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Spiritual Hurricanes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Recognizing the Reality of Spiritual Hurricanes [Mark 4:35-36]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Understanding the nature of spiritual hurricanes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Acknowledging the impact of spiritual hurricanes on our lives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Emphasizing the need to be aware of spiritual storms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Responding with Faith in the Midst of Chaos [Mark 4:37-39]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Trusting in God's presence during spiritual hurricanes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Relying on God's power to calm the storms within us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Surrendering control and finding peace in God's sovereignty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Restoring Hope and Strengthening Faith [Mark 4:40-41]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Jesus' rebuke: Do you not care that we perish?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Discovering the depth of Jesus' love and concern for us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Encouraging one another to trust in Jesus amidst spiritual hurricanes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