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Glory of the Throne Room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Revelation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This outline focuses on the three main aspects of the Throne Room described in Revelation 4 - the Majesty of Jesus, the Worship in the Throne Room, and the Transformation that occurs in Jesus. Each point starts with the letter 'M' to provide a sense of cohesion and clarity in the sermon structure.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Growth In Jesus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Majesty of Jesus [Revelation 4:2-3]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His Splendor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His Authority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His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Worship in the Throne Room [Revelation 4:8-11]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Heavenly Worship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Response of Creation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Call to Worship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Transformation in Jesus [Revelation 4:4-6]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Redeemed Community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Promise of Transformation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Hope of Growth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