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Don't Doubt, Only Believe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20:26-31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the theme of overcoming doubt and embracing faith based on the story of Thomas encountering the resurrected Jesus. Each point starts with the letter 'E' to provide a sense of cohesion and flow in the sermon.</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Only Believe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Defying Doubt [John 20:26-27]</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Doubt's hindrance to faith</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Jesus' response to doubt</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Overcoming doubt through faith</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Embracing Evidence [John 20:28-29]</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Thomas' transformation from doubt to belief</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significance of tangible evidence</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Strengthening our faith through evidence</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Experiencing Eternal Life [John 20:30-31]</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purpose of John's Gospel</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Believing for eternal life</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transformative power of faith</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