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Whatever it takes to get to Jesus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Mark 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This outline focuses on the determination of the people to seek Jesus, the disapproval they faced from critics, and the delight they experienced when encountering Him. Each point starts with the letter 'D' to create a sense of cohesion and flow in the sermon.</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Getting To Jesus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Determination to Seek [Mark 2:1-5]</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Desperate Measures</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Demolishing Obstacles</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Demonstrating Faith</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Disapproval of Critics [Mark 2:6-12]</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Doubts and Disbelief</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Discerning the Heart</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Defending the Savior</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Delight of Encountering Jesus [Mark 2:13-17]</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Divine Invitation</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Dining with Sinners</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Declaring Forgiveness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