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Qualities of a Qualified Leader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Titus 1:6-9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qualities of a qualified leader as described in Titus 1:6-9, highlighting character, competence, and commitment.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Character [Titus 1:6-7]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Above reproach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Faithful spouse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Self-controlled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Competence [Titus 1:8]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Able to teach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Sound in doctrine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Able to refute false teachings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Commitment [Titus 1:9]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Holding firm to the trustworthy word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Able to exhort in sound doctrine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Willing to confront and rebuke those who contradict the truth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