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Silencing The Haters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6-9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This outline provides a structure for the sermon, with each point starting with the same letter 'W' for the first point, 'F' for the second point, and 'D' for the third point. It covers the wickedness of the world, Noah's faithfulness, and the deliverance and redemption brought about by God through the ark.</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Noah and the Ark</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The Wickedness of the World [Genesis 6:5-7]</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Corruption of Humanity</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Grief of God</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Call to Build the Ark</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The Faithfulness of Noah [Genesis 6:8-9]</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Noah's Righteousness</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Noah's Obedience</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Noah's Trust in God's Promises</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The Deliverance and Redemption [Genesis 7-9]</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The Flood and Destruction of the Wicked</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The Preservation of Noah and His Family</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The Covenant and God's Faithfulness</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