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Three Cs of Sound Doctrine and Truth in Worship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three main aspects mentioned in the title and scripture, namely headship, communion, and the road to worship. Each point starts with the letter 'C' to provide a cohesive and memorable structure for the sermon.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Sound Doctrine and Truth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Concept of Headship [1 Corinthians 11:3]</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Understanding the biblical concept of headship</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Applying headship in the context of worship</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Embracing the role of headship in our lives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Importance of Communion [1 Corinthians 11:23-26]</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Recognizing the significance of communion in worship</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Reflecting on the purpose and meaning of communion</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Engaging in communion with reverence and gratitude</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Road to Worship [1 Corinthians 11:27-34]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Examining the prerequisites for true worship</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Addressing hindrances to genuine worship</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Cultivating a heart of worship through self-examination and unity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