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Supernatural Sight: Encountering Angels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Judges 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encounter of Gideon with the angel of the Lord as described in Judges 6. Each point in the outline starts with the letter 'S' to provide a sense of cohesion and flow in the sermon structure.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Angelic</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Surprising Sight [Judges 6:11-14]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Startling Appearance</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Sacred Message</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Surrendered Response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Strengthening Support [Judges 6:15-18]</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Seeking of Signs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Specific Significance</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Steadfast Faith</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Significant Shift [Judges 6:19-24]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Sacrificial Offering</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Supernatural Confirmation</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Spiritual Transformation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