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Calling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9:6-16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focuses on the three main points derived from the suggested Scripture passage, highlighting the chosen people, the inclusion of the Gentiles, and the purpose of God's call. Each point starts with the letter 'C' to provide a sense of cohesion and clarity in the sermon structure.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 Calls Us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Chosen People [Romans 9:6-9]</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God's Sovereign Choice</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Israel's Unique Calling</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Promise of Inheritance</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Gentile Inclusion [Romans 9:10-13]</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God's Mercy and Compassion</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Unmerited Favor of God</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Opportunity for Salvation</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Purpose of God's Call [Romans 9:14-16]</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God's Righteousness and Justice</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Understanding God's Ways</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Embracing God's Grace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