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Significance of Life in Christ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Filipi 1:21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themes of life, death, and eternity, highlighting the significance of living in Christ, the paradox of death as gain, and the call to live for Christ and prepare for eternity. Each point starts with the letter 'E' to create a sense of cohesion and flow in the sermon.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Funeral</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Significance of Life in Christ [Filipi 1:21]</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Embracing the Abundant Life in Christ</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Experiencing the Transformative Power of Christ</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Encountering the Eternal Hope in Christ</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Paradox of Death as Gain [Filipi 1:21]</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Understanding the Temporary Nature of Earthly Life</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Recognizing the Ultimate Victory over Death in Christ</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Embracing the Promise of Eternal Life with Christ</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Call to Live for Christ and Prepare for Eternity [Filipi 1:21]</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Living with Purpose and Passion for Christ</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Investing in Kingdom Work and Impacting Others</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Preparing for the Eternal Rewards in Christ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