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Josiah - A Model of Faithfulness and Reform</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2 Kings 22:1-23:27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provided above follows a three-point structure, with each point starting with the same letter 'F' (Faithfulness, Reforms and Restoration, Legacy and Impact). However, since the suggested title 'Heroes of the Bible' does not necessarily require all points to start with the same letter, you can modify the outline as per your preference or sermon style.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Josiah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Josiah's Faithfulness to God's Word [2 Kings 22:1-13]</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Josiah's commitment to seeking God [22:1-2]</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Josiah's reverence for God's Word [22:8-10]</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Josiah's response to God's Word [22:11-13]</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Josiah's Reforms and Restoration [2 Kings 22:14-23:27]</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Josiah's removal of idolatry [23:4-14]</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Josiah's restoration of the temple [23:15-20]</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Josiah's celebration of the Passover [23:21-23]</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Josiah's Legacy and Impact [2 Kings 23:24-27]</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Josiah's influence on the nation of Judah [23:24-25]</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Josiah's fulfillment of prophecy [23:26-27]</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Josiah's example for future generations [23:26-27]</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