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Victory Under Pressure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1Co 15:57, 1Jn 5:4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points starting with the same letter 'P'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Victory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Power of Faith [1Jn 5:4]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Firm Foundation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Fearless in Trials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Focused on the Promises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Perseverance of Hope [1Co 15:57]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Plan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Triumphing over Obstacles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Transforming Challenges into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Praise of Gratitude [1Co 15:57]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Acknowledging God's Grace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Appreciating His Provision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Adoring Him in Victory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