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Serving Two Masters in the Kingdom of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Matthew 6:24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outline provides a three-point structure for a sermon on serving two masters in the Kingdom of God, based on the given title, topic, and scripture reference. Each point emphasizes the conflict of loyalties, the priority of God's Kingdom, and the call to wholehearted service, respectively.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Serving Two Masters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Conflict of Loyalties [Matthew 6:24a]</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choice between God and wealth</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challenge of divided devotion</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consequences of serving two masters</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Priority of God's Kingdom [Matthew 6:24b]</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Seeking first the Kingdom of God</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Putting God's will above personal desires</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Trusting in God's provision</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The Call to Wholehearted Service [Matthew 6:24c]</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Devoting oneself fully to God</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Surrendering all to God's authority</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Living a life of undivided loyalty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