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Spiritual Warfare and the Full Armor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Ephesians 6:10-20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follows a logical progression, starting with the importance of spiritual warfare and the need for the full armor of God, then delving into the components of the armor, and finally discussing how to utilize the armor effectively in spiritual warfare.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Spiritual Warfare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Importance of spiritual warfare [Ephesians 6:10-12]</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need for the full armor of God [Ephesians 6:13]</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Components of the Full Armor</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Belt of truth [Ephesians 6:14a]</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Breastplate of righteousness [Ephesians 6:14b]</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Shoes of the gospel of peace [Ephesians 6:15]</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Utilizing the Full Armor in Spiritual Warfare</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Putting on the armor daily [Ephesians 6:18]</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Praying in the Spirit [Ephesians 6:18]</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Persevering in spiritual warfare [Ephesians 6:19-20]</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