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Faith that Heals and Moves Mountains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9:23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sermon outline discussing the importance of faith, how to foster a strong faith, and overcoming doubt and unbelief. The sermon concludes with an encouragement to step out in faith and believe in God's healing power.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still heals people from what seems impossible.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Importance of faith in the face of impossibilities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power of God to heal and work miracles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Preview of the three points to be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Faith that moves mountains [Mark 9:23]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Believing in the power of God to overcome any obstacle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promises and His ability to fulfill them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Examples from the Bible and personal testimonies of miraculous healings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Fostering a strong faith [Mark 9:23]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deep relationship with God through prayer and study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Surrounding oneself with a community of believers who encourage faith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Strengthening faith through worship, praise, and thanksgiving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