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Broken Cisterns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Jeremiah 2:13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outline presents a three-point structure for a sermon on the topic of 'Broken Cisterns' based on Jeremiah 2:13. Each point highlights different aspects related to forsaking God, the futility of relying on broken cisterns, and the call to return to the living water provided by God.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Broken Cisterns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Consequence of Forsaking God [Jeremiah 2:13a]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Cisterns of Earthly Pleasures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Cisterns of False Idols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Cisterns of Self-Reliance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Futility of Broken Cisterns [Jeremiah 2:13b]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Inability to Satisfy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Inability to Sustain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Inability to Provide Living Water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Call to Return to the Living Water [Jeremiah 2:13c]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Repentance and Restoration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Seeking God's Presence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Embracing the Source of True Satisfaction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