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Benefits of Being One in Christ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Galatians 3:27-29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unity in Christ and its practical implications for believers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One in Christ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Benefits of Being One in Christ: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Ephesians 2:14-16 - "For he himself is our peace, who has made the two groups one and has destroyed the barrier, the dividing wall of hostility... His purpose was to create in himself one new humanity out of the two, thus making peace, and in one body to reconcile both of them to God through the cross, by which he put to death their hostility."</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12:5 - "so in Christ we, though many, form one body, and each member belongs to all the others."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1 Corinthians 12:12-13 - "Just as a body, though one, has many parts, but all its many parts form one body, so it is with Christ. For we were all baptized by one Spirit so as to form one body—whether Jews or Gentiles, slave or free—and we were all given the one Spirit to drink."</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Galatians 3:27 - The phrase "put on Christ" in the original Greek is "endusasthe Christon." You can emphasize the idea of being clothed with Christ and the transformation it brings.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Ephesians 2:14 - The phrase "destroyed the barrier" in the original Greek is "to katargēsas ton meson tou fragmou." You can highlight how Christ has demolished the walls of division and hostility.</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John 17:20-23 - Jesus' prayer for unity among believers can reinforce the importance of being one in Christ.</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Colossians 3:11 - The verse emphasizes that in Christ, there is no distinction between different groups, but all are united.</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unity in diversity within the body of Christ, using the analogy of a human body with its various parts working together.</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practical implications of being one in Christ, such as loving and accepting one another, supporting and encouraging each other, and working together for the advancement of God's kingdom.</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Share examples from the early church or contemporary stories that demonstrate the benefits and power of unity in Christ.</w:t>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seamlessly into your existing sermon outline to reinforce your main points about the benefits of being one in Christ.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