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Living Holy and Transformation</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Romans 12:1-2</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inspire and guide the congregation towards a life of holiness and transformation in Christ</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Transformation</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living holy and transformation:</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Emphasize the surrender of our bodies as a living sacrifice: Expand on the idea of offering ourselves as a sacrifice to God, highlighting the significance of this act in our pursuit of holiness. You can reference other passages that speak about surrendering our bodies, such as 1 Corinthians 6:19-20.</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Explore the renewing of our minds: Elaborate on the transformation that occurs through the renewing of our minds. Discuss the importance of aligning our thoughts with God's truth and how it impacts our behavior and character. Consider incorporating Philippians 4:8, which encourages us to focus on what is true, noble, right, pure, lovely, admirable, excellent, and praiseworthy.</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Discuss the role of the Holy Spirit in transformation: Highlight the Holy Spirit's work in transforming us into the image of Christ. Explore passages like Galatians 5:22-23, which describe the fruit of the Spirit, and Romans 8:5-6, which contrasts the mindset of the flesh with that of the Spirit.</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Address the importance of community and accountability: Discuss how being part of a community of believers can support and encourage our journey towards holiness. Reference Hebrews 10:24-25, which encourages us to spur one another on towards love and good deeds.</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Offer practical steps for living out holiness: Provide practical suggestions for your listeners to actively pursue holiness in their daily lives. This could include suggestions like regular prayer and Bible study, intentional relationships, and serving others. Consider incorporating passages like James 1:22-25, which emphasizes the importance of applying God's Word in our lives.</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Regarding language suggestions or additional verses:</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While Romans 12:1-2 is already a powerful passage, you can consider exploring the original Greek words used in the text. For example, the word "transformed" in Romans 12:2 is derived from the Greek word "metamorphoō," which implies a complete and radical change. You can highlight the depth of transformation that God desires for us.</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Additionally, you may want to include Ephesians 4:22-24, which speaks about putting off the old self and putting on the new self created to be like God in true righteousness and holiness. This verse further supports the theme of transformation and living holy.</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suggestions into your sermon in a way that reinforces your current ideas and engages your audience.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