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Limitless Faithfulness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Thess. 3:3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believers with the understanding of God's limitless faithfulness and encourage them to trust in His promises.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Always Faithful</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36:5 - "Your steadfast love, O Lord, extends to the heavens, your faithfulness to the clouds." This verse emphasizes God's faithfulness and can be used to reinforce the idea that His faithfulness is limitless.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Lamentations 3:22-23 - "The steadfast love of the Lord never ceases; his mercies never come to an end; they are new every morning; great is your faithfulness." This passage highlights God's faithfulness as a constant source of mercy and love, which can be connected to the sermon's theme.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Corinthians 1:9 - "God is faithful, by whom you were called into the fellowship of his Son, Jesus Christ our Lord." This verse affirms God's faithfulness in calling believers into a relationship with Jesus Christ, emphasizing His reliability and trustworthiness.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Cross-References: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2 Thessalonians 3:3, the Greek word for "faithful" is "pistos." This word is also used in Revelation 19:11, where Jesus is described as "faithful and true." You can draw a parallel between God's faithfulness and the faithfulness of Jesus, reinforcing the sermon's message.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for "faithfulness" in Psalm 36:5 is "emunah," which can also be translated as "steadfastness" or "trustworthiness." Exploring the different nuances of this word can provide deeper insights into God's faithfulness.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Consider incorporating examples from biblical narratives that demonstrate God's faithfulness, such as the story of Joseph in Genesis or the Israelites' journey through the wilderness in Exodus. These stories can serve as practical illustrations of how God's faithfulness is available to all who receive it.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and language suggestions into your sermon in a way that reinforces the main idea of God's faithfulness being available to all.</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