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Bearing Fruit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21:33-46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bearing fruit in Christian life and provide practical steps for doing so</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Bearing Fruit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"Bearing Fruit" based on Matthew 21:33-46:</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recognizing God's ownership: Expand on the parable of the vineyard owner and highlight the concept of stewardship. Use Luke 12:42-48 to illustrate the responsibility of faithful servants and the consequences of unfaithfulness.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Jesus as the true vine: Incorporate John 15:1-8 to emphasize the connection between bearing fruit and abiding in Christ. Explain how our relationship with Jesus enables us to bear fruit that glorifies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different types of fruit: Expand on Galatians 5:22-23, known as the fruits of the Spirit. Discuss how these qualities manifest in the lives of believers and how they contribute to bearing fruit for God's kingdom.</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consequences of not bearing fruit: Refer to John 15:1-8 again to highlight Jesus' warning about being cut off from the vine if we fail to bear fruit. Discuss the implications of this for our spiritual growth and impact on others.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steps for bearing fruit: Offer practical suggestions for your listeners to cultivate a fruitful life, such as spending time in prayer and studying God's Word, engaging in acts of service, and nurturing relationships with fellow believers.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Highlight the importance of accountability: Incorporate Hebrews 10:24-25 to encourage your audience to spur one another on towards love and good deeds. Emphasize the role of community in supporting and challenging each other to bear fruit.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7. Use language insights from the original Greek text: Explore the Greek word for "fruit" (karpos) and its various meanings in different contexts. Highlight other passages where this word is used, such as Galatians 5:19-21, to contrast the works of the flesh with the fruits of the Spirit.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your main points and providing a well-rounded perspective on bearing fruit.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