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The Evil of Halloween</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1 Thessalonians 5:22</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Main idea</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To educate the youth group about the biblical perspective on Halloween and encourage them to focus on God's light, love, and truth.</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Evil of Halloween</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7">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Scripture passages that support the idea of the evil of Halloween and can be included in your sermon are:</w:t>
      </w:r>
    </w:p>
    <w:p w:rsidR="00000000" w:rsidDel="00000000" w:rsidP="00000000" w:rsidRDefault="00000000" w:rsidRPr="00000000" w14:paraId="00000008">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9">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Ephesians 5:11 - "Take no part in the unfruitful works of darkness, but instead expose them." This verse emphasizes the importance of not participating in activities associated with darkness, such as Halloween.</w:t>
      </w:r>
    </w:p>
    <w:p w:rsidR="00000000" w:rsidDel="00000000" w:rsidP="00000000" w:rsidRDefault="00000000" w:rsidRPr="00000000" w14:paraId="0000000A">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B">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2 Corinthians 6:14 - "Do not be unequally yoked with unbelievers. For what partnership has righteousness with lawlessness? Or what fellowship has light with darkness?" This verse highlights the contrast between righteousness and lawlessness, urging believers to separate themselves from activities that promote darkness.</w:t>
      </w:r>
    </w:p>
    <w:p w:rsidR="00000000" w:rsidDel="00000000" w:rsidP="00000000" w:rsidRDefault="00000000" w:rsidRPr="00000000" w14:paraId="0000000C">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D">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1 Peter 5:8 - "Be sober-minded; be watchful. Your adversary the devil prowls around like a roaring lion, seeking someone to devour." This verse reminds us of the spiritual battle we face and the need to be vigilant against the schemes of the devil, which can be associated with Halloween.</w:t>
      </w:r>
    </w:p>
    <w:p w:rsidR="00000000" w:rsidDel="00000000" w:rsidP="00000000" w:rsidRDefault="00000000" w:rsidRPr="00000000" w14:paraId="0000000E">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F">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Regarding language suggestions from the original languages, you can explore the Greek word "pharmakeia" used in Galatians 5:20, which refers to sorcery or witchcraft. This word can be used to highlight the occult practices often associated with Halloween.</w:t>
      </w:r>
    </w:p>
    <w:p w:rsidR="00000000" w:rsidDel="00000000" w:rsidP="00000000" w:rsidRDefault="00000000" w:rsidRPr="00000000" w14:paraId="00000010">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1">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Additionally, you can consider incorporating examples from other biblical narratives that illustrate the dangers of engaging with evil or pagan practices. For instance, the story of King Saul consulting a medium in 1 Samuel 28 can serve as a cautionary tale about seeking supernatural guidance outside of God's will.</w:t>
      </w:r>
    </w:p>
    <w:p w:rsidR="00000000" w:rsidDel="00000000" w:rsidP="00000000" w:rsidRDefault="00000000" w:rsidRPr="00000000" w14:paraId="00000012">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3">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Remember to emphasize the importance of focusing on God's light, love, and truth rather than dwelling on the darkness associated with Halloween. Encourage your youth group to seek alternative ways to celebrate and honor God during this time, such as hosting a fall festival or engaging in acts of service.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