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44D81" w14:textId="094FD2F3" w:rsidR="00B72DB5" w:rsidRDefault="00B72DB5" w:rsidP="00A8285B">
      <w:pPr>
        <w:pStyle w:val="Heading1"/>
      </w:pPr>
      <w:r w:rsidRPr="00B72DB5">
        <w:t xml:space="preserve">Future-Customer™ </w:t>
      </w:r>
      <w:r>
        <w:t>Analysis for American Transportation Safety Services Association</w:t>
      </w:r>
    </w:p>
    <w:p w14:paraId="33C8747B" w14:textId="6A9938AB" w:rsidR="00B72DB5" w:rsidRPr="00B72DB5" w:rsidRDefault="00B72DB5" w:rsidP="00B72DB5">
      <w:pPr>
        <w:spacing w:before="120" w:after="0"/>
      </w:pPr>
      <w:r w:rsidRPr="00B72DB5">
        <w:t>Based on findings and analysis by ChatGPT, following the Stellis AI Future Customer</w:t>
      </w:r>
      <w:r w:rsidR="00A8285B">
        <w:t xml:space="preserve">™ </w:t>
      </w:r>
      <w:r>
        <w:t>framework</w:t>
      </w:r>
      <w:r w:rsidRPr="00B72DB5">
        <w:t>. All values are provided as samples of t</w:t>
      </w:r>
      <w:r>
        <w:t xml:space="preserve">he analysis for reference by </w:t>
      </w:r>
      <w:proofErr w:type="gramStart"/>
      <w:r>
        <w:t>ATSSA, and</w:t>
      </w:r>
      <w:proofErr w:type="gramEnd"/>
      <w:r>
        <w:t xml:space="preserve"> should be evaluated in detail by organizational leadership to support an effective AI Strategy.</w:t>
      </w:r>
      <w:r w:rsidR="00A8285B">
        <w:t xml:space="preserve"> The Future Customer analysi</w:t>
      </w:r>
      <w:r w:rsidR="00CE0EAC">
        <w:t xml:space="preserve">s can be customized by using the Future Customer™ GPT available at: </w:t>
      </w:r>
      <w:r w:rsidR="00533D03" w:rsidRPr="00533D03">
        <w:rPr>
          <w:b/>
          <w:bCs/>
          <w:u w:val="single"/>
        </w:rPr>
        <w:t>https://bit.ly/future-customer</w:t>
      </w:r>
    </w:p>
    <w:p w14:paraId="6F8FF7DA" w14:textId="00BFA116" w:rsidR="00A8285B" w:rsidRDefault="00A8285B" w:rsidP="00A8285B">
      <w:pPr>
        <w:pStyle w:val="Heading2"/>
      </w:pPr>
      <w:r>
        <w:t>Future Customer Question Analysis</w:t>
      </w:r>
    </w:p>
    <w:p w14:paraId="19BAD742" w14:textId="487FF2BC" w:rsidR="00B72DB5" w:rsidRPr="00B72DB5" w:rsidRDefault="00B72DB5" w:rsidP="00B72DB5">
      <w:pPr>
        <w:spacing w:before="120" w:after="0"/>
        <w:rPr>
          <w:b/>
          <w:bCs/>
        </w:rPr>
      </w:pPr>
      <w:r w:rsidRPr="00B72DB5">
        <w:rPr>
          <w:b/>
          <w:bCs/>
        </w:rPr>
        <w:t>1. What do customers say they value most today?</w:t>
      </w:r>
    </w:p>
    <w:p w14:paraId="2FE0B633" w14:textId="77777777" w:rsidR="00B72DB5" w:rsidRPr="00B72DB5" w:rsidRDefault="00B72DB5" w:rsidP="00B72DB5">
      <w:pPr>
        <w:spacing w:before="120" w:after="0"/>
      </w:pPr>
      <w:r w:rsidRPr="00B72DB5">
        <w:t>These reflect what agencies, contractors, and professionals in roadway safety rely on ATSSA for:</w:t>
      </w:r>
    </w:p>
    <w:p w14:paraId="5ABA9758" w14:textId="77777777" w:rsidR="00B72DB5" w:rsidRPr="00B72DB5" w:rsidRDefault="00B72DB5" w:rsidP="00B72DB5">
      <w:pPr>
        <w:numPr>
          <w:ilvl w:val="0"/>
          <w:numId w:val="1"/>
        </w:numPr>
        <w:spacing w:after="0"/>
      </w:pPr>
      <w:r w:rsidRPr="00B72DB5">
        <w:t>Trustworthy safety training &amp; certifications</w:t>
      </w:r>
    </w:p>
    <w:p w14:paraId="434CFC7C" w14:textId="77777777" w:rsidR="00B72DB5" w:rsidRPr="00B72DB5" w:rsidRDefault="00B72DB5" w:rsidP="00B72DB5">
      <w:pPr>
        <w:numPr>
          <w:ilvl w:val="0"/>
          <w:numId w:val="1"/>
        </w:numPr>
        <w:spacing w:after="0"/>
      </w:pPr>
      <w:r w:rsidRPr="00B72DB5">
        <w:t>Standards and best practices for roadway safety devices</w:t>
      </w:r>
    </w:p>
    <w:p w14:paraId="7B7F0200" w14:textId="77777777" w:rsidR="00B72DB5" w:rsidRPr="00B72DB5" w:rsidRDefault="00B72DB5" w:rsidP="00B72DB5">
      <w:pPr>
        <w:numPr>
          <w:ilvl w:val="0"/>
          <w:numId w:val="1"/>
        </w:numPr>
        <w:spacing w:after="0"/>
      </w:pPr>
      <w:r w:rsidRPr="00B72DB5">
        <w:t>Advocacy on public funding and safety regulations</w:t>
      </w:r>
    </w:p>
    <w:p w14:paraId="527CBBDA" w14:textId="77777777" w:rsidR="00B72DB5" w:rsidRPr="00B72DB5" w:rsidRDefault="00B72DB5" w:rsidP="00B72DB5">
      <w:pPr>
        <w:numPr>
          <w:ilvl w:val="0"/>
          <w:numId w:val="1"/>
        </w:numPr>
        <w:spacing w:after="0"/>
      </w:pPr>
      <w:r w:rsidRPr="00B72DB5">
        <w:t>Access to technical resources and safety toolkits</w:t>
      </w:r>
    </w:p>
    <w:p w14:paraId="163F6BCC" w14:textId="77777777" w:rsidR="00B72DB5" w:rsidRPr="00B72DB5" w:rsidRDefault="00B72DB5" w:rsidP="00B72DB5">
      <w:pPr>
        <w:numPr>
          <w:ilvl w:val="0"/>
          <w:numId w:val="1"/>
        </w:numPr>
        <w:spacing w:after="0"/>
      </w:pPr>
      <w:r w:rsidRPr="00B72DB5">
        <w:t>Networking and visibility at industry events</w:t>
      </w:r>
    </w:p>
    <w:p w14:paraId="1A171D2B" w14:textId="77777777" w:rsidR="00B72DB5" w:rsidRPr="00B72DB5" w:rsidRDefault="00B72DB5" w:rsidP="00B72DB5">
      <w:pPr>
        <w:numPr>
          <w:ilvl w:val="0"/>
          <w:numId w:val="1"/>
        </w:numPr>
        <w:spacing w:after="0"/>
      </w:pPr>
      <w:r w:rsidRPr="00B72DB5">
        <w:t>Updates on safety tech and innovation</w:t>
      </w:r>
    </w:p>
    <w:p w14:paraId="03C6CCF9" w14:textId="77777777" w:rsidR="00B72DB5" w:rsidRPr="00B72DB5" w:rsidRDefault="00B72DB5" w:rsidP="00B72DB5">
      <w:pPr>
        <w:numPr>
          <w:ilvl w:val="0"/>
          <w:numId w:val="1"/>
        </w:numPr>
        <w:spacing w:after="0"/>
      </w:pPr>
      <w:r w:rsidRPr="00B72DB5">
        <w:t>Vendor access and supplier coordination</w:t>
      </w:r>
    </w:p>
    <w:p w14:paraId="56551E74" w14:textId="77567C73" w:rsidR="00B72DB5" w:rsidRPr="00B72DB5" w:rsidRDefault="00B72DB5" w:rsidP="00B72DB5">
      <w:pPr>
        <w:numPr>
          <w:ilvl w:val="0"/>
          <w:numId w:val="1"/>
        </w:numPr>
        <w:spacing w:after="0"/>
      </w:pPr>
      <w:r w:rsidRPr="00B72DB5">
        <w:t>Compliance with federal and state DOT guidelines</w:t>
      </w:r>
    </w:p>
    <w:p w14:paraId="1A7E3DB5" w14:textId="77777777" w:rsidR="00B72DB5" w:rsidRPr="00B72DB5" w:rsidRDefault="00B72DB5" w:rsidP="00B72DB5">
      <w:pPr>
        <w:spacing w:before="120" w:after="0"/>
        <w:rPr>
          <w:b/>
          <w:bCs/>
        </w:rPr>
      </w:pPr>
      <w:r w:rsidRPr="00B72DB5">
        <w:rPr>
          <w:b/>
          <w:bCs/>
        </w:rPr>
        <w:t>2. Which of those will AI soon make available to everyone?</w:t>
      </w:r>
    </w:p>
    <w:p w14:paraId="7811FC00" w14:textId="77777777" w:rsidR="00B72DB5" w:rsidRPr="00B72DB5" w:rsidRDefault="00B72DB5" w:rsidP="00B72DB5">
      <w:pPr>
        <w:numPr>
          <w:ilvl w:val="0"/>
          <w:numId w:val="2"/>
        </w:numPr>
        <w:spacing w:after="0"/>
      </w:pPr>
      <w:r w:rsidRPr="00B72DB5">
        <w:rPr>
          <w:b/>
          <w:bCs/>
        </w:rPr>
        <w:t>Training content</w:t>
      </w:r>
      <w:r w:rsidRPr="00B72DB5">
        <w:t xml:space="preserve"> can be commoditized via AI tutors and simulators</w:t>
      </w:r>
    </w:p>
    <w:p w14:paraId="64FD957E" w14:textId="77777777" w:rsidR="00B72DB5" w:rsidRPr="00B72DB5" w:rsidRDefault="00B72DB5" w:rsidP="00B72DB5">
      <w:pPr>
        <w:numPr>
          <w:ilvl w:val="0"/>
          <w:numId w:val="2"/>
        </w:numPr>
        <w:spacing w:after="0"/>
      </w:pPr>
      <w:r w:rsidRPr="00B72DB5">
        <w:rPr>
          <w:b/>
          <w:bCs/>
        </w:rPr>
        <w:t>Best practice guidelines</w:t>
      </w:r>
      <w:r w:rsidRPr="00B72DB5">
        <w:t xml:space="preserve"> can be instantly generated, benchmarked</w:t>
      </w:r>
    </w:p>
    <w:p w14:paraId="6F5CE899" w14:textId="77777777" w:rsidR="00B72DB5" w:rsidRPr="00B72DB5" w:rsidRDefault="00B72DB5" w:rsidP="00B72DB5">
      <w:pPr>
        <w:numPr>
          <w:ilvl w:val="0"/>
          <w:numId w:val="2"/>
        </w:numPr>
        <w:spacing w:after="0"/>
      </w:pPr>
      <w:r w:rsidRPr="00B72DB5">
        <w:rPr>
          <w:b/>
          <w:bCs/>
        </w:rPr>
        <w:t>Technical knowledge</w:t>
      </w:r>
      <w:r w:rsidRPr="00B72DB5">
        <w:t xml:space="preserve"> will be broadly searchable, synthesized in real-time</w:t>
      </w:r>
    </w:p>
    <w:p w14:paraId="5A543003" w14:textId="77777777" w:rsidR="00B72DB5" w:rsidRPr="00B72DB5" w:rsidRDefault="00B72DB5" w:rsidP="00B72DB5">
      <w:pPr>
        <w:numPr>
          <w:ilvl w:val="0"/>
          <w:numId w:val="2"/>
        </w:numPr>
        <w:spacing w:after="0"/>
      </w:pPr>
      <w:r w:rsidRPr="00B72DB5">
        <w:rPr>
          <w:b/>
          <w:bCs/>
        </w:rPr>
        <w:t>Supplier directories</w:t>
      </w:r>
      <w:r w:rsidRPr="00B72DB5">
        <w:t xml:space="preserve"> and procurement options can be AI-curated</w:t>
      </w:r>
    </w:p>
    <w:p w14:paraId="6AC2DBCC" w14:textId="77777777" w:rsidR="00B72DB5" w:rsidRPr="00B72DB5" w:rsidRDefault="00B72DB5" w:rsidP="00B72DB5">
      <w:pPr>
        <w:numPr>
          <w:ilvl w:val="0"/>
          <w:numId w:val="2"/>
        </w:numPr>
        <w:spacing w:after="0"/>
      </w:pPr>
      <w:r w:rsidRPr="00B72DB5">
        <w:rPr>
          <w:b/>
          <w:bCs/>
        </w:rPr>
        <w:t>Regulatory updates</w:t>
      </w:r>
      <w:r w:rsidRPr="00B72DB5">
        <w:t xml:space="preserve"> can be tracked, summarized by bots</w:t>
      </w:r>
    </w:p>
    <w:p w14:paraId="031B04B3" w14:textId="61E58312" w:rsidR="00B72DB5" w:rsidRPr="00B72DB5" w:rsidRDefault="00B72DB5" w:rsidP="00B72DB5">
      <w:pPr>
        <w:spacing w:before="120" w:after="0"/>
      </w:pPr>
      <w:r w:rsidRPr="00B72DB5">
        <w:t>These become table stakes. Advantage fades unless ATSSA adds unique integration or exclusive data.</w:t>
      </w:r>
    </w:p>
    <w:p w14:paraId="3E8FEFCA" w14:textId="77777777" w:rsidR="00B72DB5" w:rsidRPr="00B72DB5" w:rsidRDefault="00B72DB5" w:rsidP="00B72DB5">
      <w:pPr>
        <w:spacing w:before="120" w:after="0"/>
        <w:rPr>
          <w:b/>
          <w:bCs/>
        </w:rPr>
      </w:pPr>
      <w:r w:rsidRPr="00B72DB5">
        <w:rPr>
          <w:b/>
          <w:bCs/>
        </w:rPr>
        <w:t>3. When everything is measured and tools are equal, what gives us the edge?</w:t>
      </w:r>
    </w:p>
    <w:p w14:paraId="32EEEB08" w14:textId="77777777" w:rsidR="00B72DB5" w:rsidRPr="00B72DB5" w:rsidRDefault="00B72DB5" w:rsidP="00B72DB5">
      <w:pPr>
        <w:numPr>
          <w:ilvl w:val="0"/>
          <w:numId w:val="3"/>
        </w:numPr>
        <w:spacing w:after="0"/>
      </w:pPr>
      <w:r w:rsidRPr="00B72DB5">
        <w:rPr>
          <w:b/>
          <w:bCs/>
        </w:rPr>
        <w:t>Trusted validation of safety outcomes</w:t>
      </w:r>
      <w:r w:rsidRPr="00B72DB5">
        <w:t xml:space="preserve">: Certifications based on </w:t>
      </w:r>
      <w:r w:rsidRPr="00B72DB5">
        <w:rPr>
          <w:i/>
          <w:iCs/>
        </w:rPr>
        <w:t>measured effectiveness</w:t>
      </w:r>
      <w:r w:rsidRPr="00B72DB5">
        <w:t>, not just training hours</w:t>
      </w:r>
    </w:p>
    <w:p w14:paraId="12BB69CD" w14:textId="77777777" w:rsidR="00B72DB5" w:rsidRPr="00B72DB5" w:rsidRDefault="00B72DB5" w:rsidP="00B72DB5">
      <w:pPr>
        <w:numPr>
          <w:ilvl w:val="0"/>
          <w:numId w:val="3"/>
        </w:numPr>
        <w:spacing w:after="0"/>
      </w:pPr>
      <w:r w:rsidRPr="00B72DB5">
        <w:rPr>
          <w:b/>
          <w:bCs/>
        </w:rPr>
        <w:t>Interoperability standards leadership</w:t>
      </w:r>
      <w:r w:rsidRPr="00B72DB5">
        <w:t>: Defining how smart infrastructure components talk to vehicles and agencies</w:t>
      </w:r>
    </w:p>
    <w:p w14:paraId="3AD6936C" w14:textId="77777777" w:rsidR="00B72DB5" w:rsidRPr="00B72DB5" w:rsidRDefault="00B72DB5" w:rsidP="00B72DB5">
      <w:pPr>
        <w:numPr>
          <w:ilvl w:val="0"/>
          <w:numId w:val="3"/>
        </w:numPr>
        <w:spacing w:after="0"/>
      </w:pPr>
      <w:r w:rsidRPr="00B72DB5">
        <w:rPr>
          <w:b/>
          <w:bCs/>
        </w:rPr>
        <w:lastRenderedPageBreak/>
        <w:t>Human-in-the-loop safety layers</w:t>
      </w:r>
      <w:r w:rsidRPr="00B72DB5">
        <w:t>: Validating edge cases, community acceptance, policy realism</w:t>
      </w:r>
    </w:p>
    <w:p w14:paraId="0CB06910" w14:textId="46249572" w:rsidR="00B72DB5" w:rsidRPr="00B72DB5" w:rsidRDefault="00B72DB5" w:rsidP="00B72DB5">
      <w:pPr>
        <w:numPr>
          <w:ilvl w:val="0"/>
          <w:numId w:val="3"/>
        </w:numPr>
        <w:spacing w:after="0"/>
      </w:pPr>
      <w:r w:rsidRPr="00B72DB5">
        <w:rPr>
          <w:b/>
          <w:bCs/>
        </w:rPr>
        <w:t>Outcome-based safety benchmarks</w:t>
      </w:r>
      <w:r w:rsidRPr="00B72DB5">
        <w:t>: Crash reductions, near-miss detections, predictive maintenance metrics</w:t>
      </w:r>
    </w:p>
    <w:p w14:paraId="66BB3F09" w14:textId="77777777" w:rsidR="00B72DB5" w:rsidRPr="00B72DB5" w:rsidRDefault="00B72DB5" w:rsidP="00B72DB5">
      <w:pPr>
        <w:spacing w:before="120" w:after="0"/>
        <w:rPr>
          <w:b/>
          <w:bCs/>
        </w:rPr>
      </w:pPr>
      <w:r w:rsidRPr="00B72DB5">
        <w:rPr>
          <w:b/>
          <w:bCs/>
        </w:rPr>
        <w:t xml:space="preserve">4. Where will customers still want a real </w:t>
      </w:r>
      <w:proofErr w:type="gramStart"/>
      <w:r w:rsidRPr="00B72DB5">
        <w:rPr>
          <w:b/>
          <w:bCs/>
        </w:rPr>
        <w:t>person</w:t>
      </w:r>
      <w:proofErr w:type="gramEnd"/>
      <w:r w:rsidRPr="00B72DB5">
        <w:rPr>
          <w:b/>
          <w:bCs/>
        </w:rPr>
        <w:t xml:space="preserve"> they can trust?</w:t>
      </w:r>
    </w:p>
    <w:p w14:paraId="386E2D43" w14:textId="77777777" w:rsidR="00B72DB5" w:rsidRPr="00B72DB5" w:rsidRDefault="00B72DB5" w:rsidP="00B72DB5">
      <w:pPr>
        <w:numPr>
          <w:ilvl w:val="0"/>
          <w:numId w:val="4"/>
        </w:numPr>
        <w:spacing w:after="0"/>
      </w:pPr>
      <w:r w:rsidRPr="00B72DB5">
        <w:t>Certifying and auditing smart safety deployments</w:t>
      </w:r>
    </w:p>
    <w:p w14:paraId="75CB39E1" w14:textId="77777777" w:rsidR="00B72DB5" w:rsidRPr="00B72DB5" w:rsidRDefault="00B72DB5" w:rsidP="00B72DB5">
      <w:pPr>
        <w:numPr>
          <w:ilvl w:val="0"/>
          <w:numId w:val="4"/>
        </w:numPr>
        <w:spacing w:after="0"/>
      </w:pPr>
      <w:r w:rsidRPr="00B72DB5">
        <w:t>Mediating between DOTs, vendors, and AI claims</w:t>
      </w:r>
    </w:p>
    <w:p w14:paraId="10786514" w14:textId="77777777" w:rsidR="00B72DB5" w:rsidRPr="00B72DB5" w:rsidRDefault="00B72DB5" w:rsidP="00B72DB5">
      <w:pPr>
        <w:numPr>
          <w:ilvl w:val="0"/>
          <w:numId w:val="4"/>
        </w:numPr>
        <w:spacing w:after="0"/>
      </w:pPr>
      <w:r w:rsidRPr="00B72DB5">
        <w:t>Interpreting ambiguous safety events (e.g. multi-factor crash causes)</w:t>
      </w:r>
    </w:p>
    <w:p w14:paraId="75CA58F3" w14:textId="77777777" w:rsidR="00B72DB5" w:rsidRPr="00B72DB5" w:rsidRDefault="00B72DB5" w:rsidP="00B72DB5">
      <w:pPr>
        <w:numPr>
          <w:ilvl w:val="0"/>
          <w:numId w:val="4"/>
        </w:numPr>
        <w:spacing w:after="0"/>
      </w:pPr>
      <w:r w:rsidRPr="00B72DB5">
        <w:t>Training for hybrid human-machine traffic control</w:t>
      </w:r>
    </w:p>
    <w:p w14:paraId="568692F2" w14:textId="0E50D7C9" w:rsidR="00B72DB5" w:rsidRPr="00B72DB5" w:rsidRDefault="00B72DB5" w:rsidP="00B72DB5">
      <w:pPr>
        <w:numPr>
          <w:ilvl w:val="0"/>
          <w:numId w:val="4"/>
        </w:numPr>
        <w:spacing w:after="0"/>
      </w:pPr>
      <w:r w:rsidRPr="00B72DB5">
        <w:t>Trust-building during high-risk pilot programs or deployments</w:t>
      </w:r>
    </w:p>
    <w:p w14:paraId="03C040EF" w14:textId="77777777" w:rsidR="00B72DB5" w:rsidRPr="00B72DB5" w:rsidRDefault="00B72DB5" w:rsidP="00B72DB5">
      <w:pPr>
        <w:spacing w:before="120" w:after="0"/>
        <w:rPr>
          <w:b/>
          <w:bCs/>
        </w:rPr>
      </w:pPr>
      <w:r w:rsidRPr="00B72DB5">
        <w:rPr>
          <w:b/>
          <w:bCs/>
        </w:rPr>
        <w:t>5. What could we offer now that wasn’t possible before?</w:t>
      </w:r>
    </w:p>
    <w:p w14:paraId="0187BD56" w14:textId="77777777" w:rsidR="00B72DB5" w:rsidRPr="00B72DB5" w:rsidRDefault="00B72DB5" w:rsidP="00B72DB5">
      <w:pPr>
        <w:numPr>
          <w:ilvl w:val="0"/>
          <w:numId w:val="5"/>
        </w:numPr>
        <w:spacing w:after="0"/>
      </w:pPr>
      <w:r w:rsidRPr="00B72DB5">
        <w:rPr>
          <w:b/>
          <w:bCs/>
        </w:rPr>
        <w:t>Live safety performance dashboards</w:t>
      </w:r>
      <w:r w:rsidRPr="00B72DB5">
        <w:t xml:space="preserve"> (via sensor-integrated devices)</w:t>
      </w:r>
    </w:p>
    <w:p w14:paraId="4F773BAC" w14:textId="77777777" w:rsidR="00B72DB5" w:rsidRPr="00B72DB5" w:rsidRDefault="00B72DB5" w:rsidP="00B72DB5">
      <w:pPr>
        <w:numPr>
          <w:ilvl w:val="0"/>
          <w:numId w:val="5"/>
        </w:numPr>
        <w:spacing w:after="0"/>
      </w:pPr>
      <w:r w:rsidRPr="00B72DB5">
        <w:rPr>
          <w:b/>
          <w:bCs/>
        </w:rPr>
        <w:t>Outcome-based training</w:t>
      </w:r>
      <w:r w:rsidRPr="00B72DB5">
        <w:t>: Simulated crash-prevention, real-time feedback</w:t>
      </w:r>
    </w:p>
    <w:p w14:paraId="2C390E80" w14:textId="77777777" w:rsidR="00B72DB5" w:rsidRPr="00B72DB5" w:rsidRDefault="00B72DB5" w:rsidP="00B72DB5">
      <w:pPr>
        <w:numPr>
          <w:ilvl w:val="0"/>
          <w:numId w:val="5"/>
        </w:numPr>
        <w:spacing w:after="0"/>
      </w:pPr>
      <w:r w:rsidRPr="00B72DB5">
        <w:rPr>
          <w:b/>
          <w:bCs/>
        </w:rPr>
        <w:t>Certification for connected safety systems</w:t>
      </w:r>
      <w:r w:rsidRPr="00B72DB5">
        <w:t xml:space="preserve"> (V2X readiness, sensor compliance)</w:t>
      </w:r>
    </w:p>
    <w:p w14:paraId="23EE21B6" w14:textId="77777777" w:rsidR="00B72DB5" w:rsidRPr="00B72DB5" w:rsidRDefault="00B72DB5" w:rsidP="00B72DB5">
      <w:pPr>
        <w:numPr>
          <w:ilvl w:val="0"/>
          <w:numId w:val="5"/>
        </w:numPr>
        <w:spacing w:after="0"/>
      </w:pPr>
      <w:r w:rsidRPr="00B72DB5">
        <w:rPr>
          <w:b/>
          <w:bCs/>
        </w:rPr>
        <w:t>AI-assist safety audits</w:t>
      </w:r>
      <w:r w:rsidRPr="00B72DB5">
        <w:t>: Analyze near-misses, blind zones, driver behavior patterns</w:t>
      </w:r>
    </w:p>
    <w:p w14:paraId="107A3744" w14:textId="19862D6F" w:rsidR="00B72DB5" w:rsidRPr="00B72DB5" w:rsidRDefault="00B72DB5" w:rsidP="00B72DB5">
      <w:pPr>
        <w:numPr>
          <w:ilvl w:val="0"/>
          <w:numId w:val="5"/>
        </w:numPr>
        <w:spacing w:after="0"/>
      </w:pPr>
      <w:r w:rsidRPr="00B72DB5">
        <w:rPr>
          <w:b/>
          <w:bCs/>
        </w:rPr>
        <w:t>Predictive funding maps</w:t>
      </w:r>
      <w:r w:rsidRPr="00B72DB5">
        <w:t>: Recommend where funds will yield greatest safety gains</w:t>
      </w:r>
    </w:p>
    <w:p w14:paraId="3BA6E46D" w14:textId="4B89C0DB" w:rsidR="00B72DB5" w:rsidRPr="00B72DB5" w:rsidRDefault="00B72DB5" w:rsidP="00A8285B">
      <w:pPr>
        <w:pStyle w:val="Heading2"/>
      </w:pPr>
      <w:r w:rsidRPr="00B72DB5">
        <w:t>Results</w:t>
      </w:r>
    </w:p>
    <w:p w14:paraId="0C95FBD6" w14:textId="77777777" w:rsidR="00B72DB5" w:rsidRPr="00B72DB5" w:rsidRDefault="00B72DB5" w:rsidP="00B72DB5">
      <w:pPr>
        <w:spacing w:before="120" w:after="0"/>
        <w:rPr>
          <w:b/>
          <w:bCs/>
        </w:rPr>
      </w:pPr>
      <w:r w:rsidRPr="00B72DB5">
        <w:rPr>
          <w:b/>
          <w:bCs/>
        </w:rPr>
        <w:t>A) Δ Table: Value Levers Shift (Sorted by Future Safety)</w:t>
      </w:r>
    </w:p>
    <w:p w14:paraId="70EAEE72" w14:textId="77777777" w:rsidR="00B72DB5" w:rsidRPr="00B72DB5" w:rsidRDefault="00B72DB5" w:rsidP="00B72DB5">
      <w:pPr>
        <w:spacing w:before="120" w:after="0"/>
      </w:pPr>
      <w:r w:rsidRPr="00B72DB5">
        <w:t xml:space="preserve">This table shows how current value </w:t>
      </w:r>
      <w:proofErr w:type="gramStart"/>
      <w:r w:rsidRPr="00B72DB5">
        <w:t>levers</w:t>
      </w:r>
      <w:proofErr w:type="gramEnd"/>
      <w:r w:rsidRPr="00B72DB5">
        <w:t xml:space="preserve"> hold up in a world where intelligence is cheap.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9"/>
        <w:gridCol w:w="4798"/>
        <w:gridCol w:w="1315"/>
        <w:gridCol w:w="1488"/>
        <w:gridCol w:w="445"/>
        <w:gridCol w:w="685"/>
      </w:tblGrid>
      <w:tr w:rsidR="00B72DB5" w:rsidRPr="00B72DB5" w14:paraId="6DE39532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FCA83F8" w14:textId="77777777" w:rsidR="00B72DB5" w:rsidRPr="00B72DB5" w:rsidRDefault="00B72DB5" w:rsidP="00B72DB5">
            <w:pPr>
              <w:spacing w:before="120" w:after="0"/>
              <w:rPr>
                <w:b/>
                <w:bCs/>
              </w:rPr>
            </w:pPr>
            <w:r w:rsidRPr="00B72DB5">
              <w:rPr>
                <w:b/>
                <w:bCs/>
              </w:rPr>
              <w:t>Rank</w:t>
            </w:r>
          </w:p>
        </w:tc>
        <w:tc>
          <w:tcPr>
            <w:tcW w:w="0" w:type="auto"/>
            <w:vAlign w:val="center"/>
            <w:hideMark/>
          </w:tcPr>
          <w:p w14:paraId="1735CB57" w14:textId="77777777" w:rsidR="00B72DB5" w:rsidRPr="00B72DB5" w:rsidRDefault="00B72DB5" w:rsidP="00B72DB5">
            <w:pPr>
              <w:spacing w:before="120" w:after="0"/>
              <w:rPr>
                <w:b/>
                <w:bCs/>
              </w:rPr>
            </w:pPr>
            <w:r w:rsidRPr="00B72DB5">
              <w:rPr>
                <w:b/>
                <w:bCs/>
              </w:rPr>
              <w:t>Value Lever</w:t>
            </w:r>
          </w:p>
        </w:tc>
        <w:tc>
          <w:tcPr>
            <w:tcW w:w="0" w:type="auto"/>
            <w:vAlign w:val="center"/>
            <w:hideMark/>
          </w:tcPr>
          <w:p w14:paraId="05C68108" w14:textId="77777777" w:rsidR="00B72DB5" w:rsidRPr="00B72DB5" w:rsidRDefault="00B72DB5" w:rsidP="00B72DB5">
            <w:pPr>
              <w:spacing w:before="120" w:after="0"/>
              <w:rPr>
                <w:b/>
                <w:bCs/>
              </w:rPr>
            </w:pPr>
            <w:r w:rsidRPr="00B72DB5">
              <w:rPr>
                <w:b/>
                <w:bCs/>
              </w:rPr>
              <w:t>Today Index</w:t>
            </w:r>
          </w:p>
        </w:tc>
        <w:tc>
          <w:tcPr>
            <w:tcW w:w="0" w:type="auto"/>
            <w:vAlign w:val="center"/>
            <w:hideMark/>
          </w:tcPr>
          <w:p w14:paraId="2B50BAC4" w14:textId="77777777" w:rsidR="00B72DB5" w:rsidRPr="00B72DB5" w:rsidRDefault="00B72DB5" w:rsidP="00B72DB5">
            <w:pPr>
              <w:spacing w:before="120" w:after="0"/>
              <w:rPr>
                <w:b/>
                <w:bCs/>
              </w:rPr>
            </w:pPr>
            <w:r w:rsidRPr="00B72DB5">
              <w:rPr>
                <w:b/>
                <w:bCs/>
              </w:rPr>
              <w:t>Future Safety</w:t>
            </w:r>
          </w:p>
        </w:tc>
        <w:tc>
          <w:tcPr>
            <w:tcW w:w="0" w:type="auto"/>
            <w:vAlign w:val="center"/>
            <w:hideMark/>
          </w:tcPr>
          <w:p w14:paraId="5319C725" w14:textId="77777777" w:rsidR="00B72DB5" w:rsidRPr="00B72DB5" w:rsidRDefault="00B72DB5" w:rsidP="00B72DB5">
            <w:pPr>
              <w:spacing w:before="120" w:after="0"/>
              <w:rPr>
                <w:b/>
                <w:bCs/>
              </w:rPr>
            </w:pPr>
            <w:r w:rsidRPr="00B72DB5">
              <w:rPr>
                <w:b/>
                <w:bCs/>
              </w:rPr>
              <w:t>Δ</w:t>
            </w:r>
          </w:p>
        </w:tc>
        <w:tc>
          <w:tcPr>
            <w:tcW w:w="0" w:type="auto"/>
            <w:vAlign w:val="center"/>
            <w:hideMark/>
          </w:tcPr>
          <w:p w14:paraId="1EF9BD65" w14:textId="77777777" w:rsidR="00B72DB5" w:rsidRPr="00B72DB5" w:rsidRDefault="00B72DB5" w:rsidP="00B72DB5">
            <w:pPr>
              <w:spacing w:before="120" w:after="0"/>
              <w:rPr>
                <w:b/>
                <w:bCs/>
              </w:rPr>
            </w:pPr>
            <w:r w:rsidRPr="00B72DB5">
              <w:rPr>
                <w:b/>
                <w:bCs/>
              </w:rPr>
              <w:t>Trend</w:t>
            </w:r>
          </w:p>
        </w:tc>
      </w:tr>
      <w:tr w:rsidR="00B72DB5" w:rsidRPr="00B72DB5" w14:paraId="44F6D87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DF8045" w14:textId="77777777" w:rsidR="00B72DB5" w:rsidRPr="00B72DB5" w:rsidRDefault="00B72DB5" w:rsidP="00B72DB5">
            <w:pPr>
              <w:spacing w:before="120" w:after="0"/>
            </w:pPr>
            <w:r w:rsidRPr="00B72DB5">
              <w:t>1</w:t>
            </w:r>
          </w:p>
        </w:tc>
        <w:tc>
          <w:tcPr>
            <w:tcW w:w="0" w:type="auto"/>
            <w:vAlign w:val="center"/>
            <w:hideMark/>
          </w:tcPr>
          <w:p w14:paraId="6F48C07D" w14:textId="77777777" w:rsidR="00B72DB5" w:rsidRPr="00B72DB5" w:rsidRDefault="00B72DB5" w:rsidP="00B72DB5">
            <w:pPr>
              <w:spacing w:before="120" w:after="0"/>
            </w:pPr>
            <w:r w:rsidRPr="00B72DB5">
              <w:t>Outcome-based safety certification</w:t>
            </w:r>
          </w:p>
        </w:tc>
        <w:tc>
          <w:tcPr>
            <w:tcW w:w="0" w:type="auto"/>
            <w:vAlign w:val="center"/>
            <w:hideMark/>
          </w:tcPr>
          <w:p w14:paraId="550D6B0D" w14:textId="77777777" w:rsidR="00B72DB5" w:rsidRPr="00B72DB5" w:rsidRDefault="00B72DB5" w:rsidP="00B72DB5">
            <w:pPr>
              <w:spacing w:before="120" w:after="0"/>
            </w:pPr>
            <w:r w:rsidRPr="00B72DB5">
              <w:t>60</w:t>
            </w:r>
          </w:p>
        </w:tc>
        <w:tc>
          <w:tcPr>
            <w:tcW w:w="0" w:type="auto"/>
            <w:vAlign w:val="center"/>
            <w:hideMark/>
          </w:tcPr>
          <w:p w14:paraId="7ED0C46F" w14:textId="77777777" w:rsidR="00B72DB5" w:rsidRPr="00B72DB5" w:rsidRDefault="00B72DB5" w:rsidP="00B72DB5">
            <w:pPr>
              <w:spacing w:before="120" w:after="0"/>
            </w:pPr>
            <w:r w:rsidRPr="00B72DB5">
              <w:t>96</w:t>
            </w:r>
          </w:p>
        </w:tc>
        <w:tc>
          <w:tcPr>
            <w:tcW w:w="0" w:type="auto"/>
            <w:vAlign w:val="center"/>
            <w:hideMark/>
          </w:tcPr>
          <w:p w14:paraId="2A0CDA0D" w14:textId="77777777" w:rsidR="00B72DB5" w:rsidRPr="00B72DB5" w:rsidRDefault="00B72DB5" w:rsidP="00B72DB5">
            <w:pPr>
              <w:spacing w:before="120" w:after="0"/>
            </w:pPr>
            <w:r w:rsidRPr="00B72DB5">
              <w:t>+36</w:t>
            </w:r>
          </w:p>
        </w:tc>
        <w:tc>
          <w:tcPr>
            <w:tcW w:w="0" w:type="auto"/>
            <w:vAlign w:val="center"/>
            <w:hideMark/>
          </w:tcPr>
          <w:p w14:paraId="4A15E4C9" w14:textId="77777777" w:rsidR="00B72DB5" w:rsidRPr="00B72DB5" w:rsidRDefault="00B72DB5" w:rsidP="00B72DB5">
            <w:pPr>
              <w:spacing w:before="120" w:after="0"/>
            </w:pPr>
            <w:r w:rsidRPr="00B72DB5">
              <w:t>Up</w:t>
            </w:r>
          </w:p>
        </w:tc>
      </w:tr>
      <w:tr w:rsidR="00B72DB5" w:rsidRPr="00B72DB5" w14:paraId="47E4928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DB718C" w14:textId="77777777" w:rsidR="00B72DB5" w:rsidRPr="00B72DB5" w:rsidRDefault="00B72DB5" w:rsidP="00B72DB5">
            <w:pPr>
              <w:spacing w:before="120" w:after="0"/>
            </w:pPr>
            <w:r w:rsidRPr="00B72DB5">
              <w:t>2</w:t>
            </w:r>
          </w:p>
        </w:tc>
        <w:tc>
          <w:tcPr>
            <w:tcW w:w="0" w:type="auto"/>
            <w:vAlign w:val="center"/>
            <w:hideMark/>
          </w:tcPr>
          <w:p w14:paraId="199FEEAA" w14:textId="77777777" w:rsidR="00B72DB5" w:rsidRPr="00B72DB5" w:rsidRDefault="00B72DB5" w:rsidP="00B72DB5">
            <w:pPr>
              <w:spacing w:before="120" w:after="0"/>
            </w:pPr>
            <w:r w:rsidRPr="00B72DB5">
              <w:t>Interoperability &amp; standards leadership</w:t>
            </w:r>
          </w:p>
        </w:tc>
        <w:tc>
          <w:tcPr>
            <w:tcW w:w="0" w:type="auto"/>
            <w:vAlign w:val="center"/>
            <w:hideMark/>
          </w:tcPr>
          <w:p w14:paraId="2793AB54" w14:textId="77777777" w:rsidR="00B72DB5" w:rsidRPr="00B72DB5" w:rsidRDefault="00B72DB5" w:rsidP="00B72DB5">
            <w:pPr>
              <w:spacing w:before="120" w:after="0"/>
            </w:pPr>
            <w:r w:rsidRPr="00B72DB5">
              <w:t>60</w:t>
            </w:r>
          </w:p>
        </w:tc>
        <w:tc>
          <w:tcPr>
            <w:tcW w:w="0" w:type="auto"/>
            <w:vAlign w:val="center"/>
            <w:hideMark/>
          </w:tcPr>
          <w:p w14:paraId="67207880" w14:textId="77777777" w:rsidR="00B72DB5" w:rsidRPr="00B72DB5" w:rsidRDefault="00B72DB5" w:rsidP="00B72DB5">
            <w:pPr>
              <w:spacing w:before="120" w:after="0"/>
            </w:pPr>
            <w:r w:rsidRPr="00B72DB5">
              <w:t>92</w:t>
            </w:r>
          </w:p>
        </w:tc>
        <w:tc>
          <w:tcPr>
            <w:tcW w:w="0" w:type="auto"/>
            <w:vAlign w:val="center"/>
            <w:hideMark/>
          </w:tcPr>
          <w:p w14:paraId="63BBAF2C" w14:textId="77777777" w:rsidR="00B72DB5" w:rsidRPr="00B72DB5" w:rsidRDefault="00B72DB5" w:rsidP="00B72DB5">
            <w:pPr>
              <w:spacing w:before="120" w:after="0"/>
            </w:pPr>
            <w:r w:rsidRPr="00B72DB5">
              <w:t>+32</w:t>
            </w:r>
          </w:p>
        </w:tc>
        <w:tc>
          <w:tcPr>
            <w:tcW w:w="0" w:type="auto"/>
            <w:vAlign w:val="center"/>
            <w:hideMark/>
          </w:tcPr>
          <w:p w14:paraId="323C21AC" w14:textId="77777777" w:rsidR="00B72DB5" w:rsidRPr="00B72DB5" w:rsidRDefault="00B72DB5" w:rsidP="00B72DB5">
            <w:pPr>
              <w:spacing w:before="120" w:after="0"/>
            </w:pPr>
            <w:r w:rsidRPr="00B72DB5">
              <w:t>Up</w:t>
            </w:r>
          </w:p>
        </w:tc>
      </w:tr>
      <w:tr w:rsidR="00B72DB5" w:rsidRPr="00B72DB5" w14:paraId="07EC6D4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D65D73" w14:textId="77777777" w:rsidR="00B72DB5" w:rsidRPr="00B72DB5" w:rsidRDefault="00B72DB5" w:rsidP="00B72DB5">
            <w:pPr>
              <w:spacing w:before="120" w:after="0"/>
            </w:pPr>
            <w:r w:rsidRPr="00B72DB5">
              <w:t>3</w:t>
            </w:r>
          </w:p>
        </w:tc>
        <w:tc>
          <w:tcPr>
            <w:tcW w:w="0" w:type="auto"/>
            <w:vAlign w:val="center"/>
            <w:hideMark/>
          </w:tcPr>
          <w:p w14:paraId="08CBC9CA" w14:textId="77777777" w:rsidR="00B72DB5" w:rsidRPr="00B72DB5" w:rsidRDefault="00B72DB5" w:rsidP="00B72DB5">
            <w:pPr>
              <w:spacing w:before="120" w:after="0"/>
            </w:pPr>
            <w:r w:rsidRPr="00B72DB5">
              <w:t>Trust-based policy guidance &amp; risk mitigation</w:t>
            </w:r>
          </w:p>
        </w:tc>
        <w:tc>
          <w:tcPr>
            <w:tcW w:w="0" w:type="auto"/>
            <w:vAlign w:val="center"/>
            <w:hideMark/>
          </w:tcPr>
          <w:p w14:paraId="0D090907" w14:textId="77777777" w:rsidR="00B72DB5" w:rsidRPr="00B72DB5" w:rsidRDefault="00B72DB5" w:rsidP="00B72DB5">
            <w:pPr>
              <w:spacing w:before="120" w:after="0"/>
            </w:pPr>
            <w:r w:rsidRPr="00B72DB5">
              <w:t>60</w:t>
            </w:r>
          </w:p>
        </w:tc>
        <w:tc>
          <w:tcPr>
            <w:tcW w:w="0" w:type="auto"/>
            <w:vAlign w:val="center"/>
            <w:hideMark/>
          </w:tcPr>
          <w:p w14:paraId="2EABFF53" w14:textId="77777777" w:rsidR="00B72DB5" w:rsidRPr="00B72DB5" w:rsidRDefault="00B72DB5" w:rsidP="00B72DB5">
            <w:pPr>
              <w:spacing w:before="120" w:after="0"/>
            </w:pPr>
            <w:r w:rsidRPr="00B72DB5">
              <w:t>84</w:t>
            </w:r>
          </w:p>
        </w:tc>
        <w:tc>
          <w:tcPr>
            <w:tcW w:w="0" w:type="auto"/>
            <w:vAlign w:val="center"/>
            <w:hideMark/>
          </w:tcPr>
          <w:p w14:paraId="176EEC52" w14:textId="77777777" w:rsidR="00B72DB5" w:rsidRPr="00B72DB5" w:rsidRDefault="00B72DB5" w:rsidP="00B72DB5">
            <w:pPr>
              <w:spacing w:before="120" w:after="0"/>
            </w:pPr>
            <w:r w:rsidRPr="00B72DB5">
              <w:t>+24</w:t>
            </w:r>
          </w:p>
        </w:tc>
        <w:tc>
          <w:tcPr>
            <w:tcW w:w="0" w:type="auto"/>
            <w:vAlign w:val="center"/>
            <w:hideMark/>
          </w:tcPr>
          <w:p w14:paraId="156CBF1D" w14:textId="77777777" w:rsidR="00B72DB5" w:rsidRPr="00B72DB5" w:rsidRDefault="00B72DB5" w:rsidP="00B72DB5">
            <w:pPr>
              <w:spacing w:before="120" w:after="0"/>
            </w:pPr>
            <w:r w:rsidRPr="00B72DB5">
              <w:t>Up</w:t>
            </w:r>
          </w:p>
        </w:tc>
      </w:tr>
      <w:tr w:rsidR="00B72DB5" w:rsidRPr="00B72DB5" w14:paraId="34AEAC6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297ABD" w14:textId="77777777" w:rsidR="00B72DB5" w:rsidRPr="00B72DB5" w:rsidRDefault="00B72DB5" w:rsidP="00B72DB5">
            <w:pPr>
              <w:spacing w:before="120" w:after="0"/>
            </w:pPr>
            <w:r w:rsidRPr="00B72DB5">
              <w:t>4</w:t>
            </w:r>
          </w:p>
        </w:tc>
        <w:tc>
          <w:tcPr>
            <w:tcW w:w="0" w:type="auto"/>
            <w:vAlign w:val="center"/>
            <w:hideMark/>
          </w:tcPr>
          <w:p w14:paraId="165669BF" w14:textId="77777777" w:rsidR="00B72DB5" w:rsidRPr="00B72DB5" w:rsidRDefault="00B72DB5" w:rsidP="00B72DB5">
            <w:pPr>
              <w:spacing w:before="120" w:after="0"/>
            </w:pPr>
            <w:r w:rsidRPr="00B72DB5">
              <w:t>Human-led audits and V2X validation</w:t>
            </w:r>
          </w:p>
        </w:tc>
        <w:tc>
          <w:tcPr>
            <w:tcW w:w="0" w:type="auto"/>
            <w:vAlign w:val="center"/>
            <w:hideMark/>
          </w:tcPr>
          <w:p w14:paraId="0C238A00" w14:textId="77777777" w:rsidR="00B72DB5" w:rsidRPr="00B72DB5" w:rsidRDefault="00B72DB5" w:rsidP="00B72DB5">
            <w:pPr>
              <w:spacing w:before="120" w:after="0"/>
            </w:pPr>
            <w:r w:rsidRPr="00B72DB5">
              <w:t>60</w:t>
            </w:r>
          </w:p>
        </w:tc>
        <w:tc>
          <w:tcPr>
            <w:tcW w:w="0" w:type="auto"/>
            <w:vAlign w:val="center"/>
            <w:hideMark/>
          </w:tcPr>
          <w:p w14:paraId="4A71CBA9" w14:textId="77777777" w:rsidR="00B72DB5" w:rsidRPr="00B72DB5" w:rsidRDefault="00B72DB5" w:rsidP="00B72DB5">
            <w:pPr>
              <w:spacing w:before="120" w:after="0"/>
            </w:pPr>
            <w:r w:rsidRPr="00B72DB5">
              <w:t>80</w:t>
            </w:r>
          </w:p>
        </w:tc>
        <w:tc>
          <w:tcPr>
            <w:tcW w:w="0" w:type="auto"/>
            <w:vAlign w:val="center"/>
            <w:hideMark/>
          </w:tcPr>
          <w:p w14:paraId="0A9EEBF0" w14:textId="77777777" w:rsidR="00B72DB5" w:rsidRPr="00B72DB5" w:rsidRDefault="00B72DB5" w:rsidP="00B72DB5">
            <w:pPr>
              <w:spacing w:before="120" w:after="0"/>
            </w:pPr>
            <w:r w:rsidRPr="00B72DB5">
              <w:t>+20</w:t>
            </w:r>
          </w:p>
        </w:tc>
        <w:tc>
          <w:tcPr>
            <w:tcW w:w="0" w:type="auto"/>
            <w:vAlign w:val="center"/>
            <w:hideMark/>
          </w:tcPr>
          <w:p w14:paraId="0DCE0BFD" w14:textId="77777777" w:rsidR="00B72DB5" w:rsidRPr="00B72DB5" w:rsidRDefault="00B72DB5" w:rsidP="00B72DB5">
            <w:pPr>
              <w:spacing w:before="120" w:after="0"/>
            </w:pPr>
            <w:r w:rsidRPr="00B72DB5">
              <w:t>Up</w:t>
            </w:r>
          </w:p>
        </w:tc>
      </w:tr>
      <w:tr w:rsidR="00B72DB5" w:rsidRPr="00B72DB5" w14:paraId="5A201C1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1977F6" w14:textId="77777777" w:rsidR="00B72DB5" w:rsidRPr="00B72DB5" w:rsidRDefault="00B72DB5" w:rsidP="00B72DB5">
            <w:pPr>
              <w:spacing w:before="120" w:after="0"/>
            </w:pPr>
            <w:r w:rsidRPr="00B72DB5">
              <w:t>5</w:t>
            </w:r>
          </w:p>
        </w:tc>
        <w:tc>
          <w:tcPr>
            <w:tcW w:w="0" w:type="auto"/>
            <w:vAlign w:val="center"/>
            <w:hideMark/>
          </w:tcPr>
          <w:p w14:paraId="681BF234" w14:textId="77777777" w:rsidR="00B72DB5" w:rsidRPr="00B72DB5" w:rsidRDefault="00B72DB5" w:rsidP="00B72DB5">
            <w:pPr>
              <w:spacing w:before="120" w:after="0"/>
            </w:pPr>
            <w:r w:rsidRPr="00B72DB5">
              <w:t>Smart infrastructure integration toolkits</w:t>
            </w:r>
          </w:p>
        </w:tc>
        <w:tc>
          <w:tcPr>
            <w:tcW w:w="0" w:type="auto"/>
            <w:vAlign w:val="center"/>
            <w:hideMark/>
          </w:tcPr>
          <w:p w14:paraId="1327ACEE" w14:textId="77777777" w:rsidR="00B72DB5" w:rsidRPr="00B72DB5" w:rsidRDefault="00B72DB5" w:rsidP="00B72DB5">
            <w:pPr>
              <w:spacing w:before="120" w:after="0"/>
            </w:pPr>
            <w:r w:rsidRPr="00B72DB5">
              <w:t>60</w:t>
            </w:r>
          </w:p>
        </w:tc>
        <w:tc>
          <w:tcPr>
            <w:tcW w:w="0" w:type="auto"/>
            <w:vAlign w:val="center"/>
            <w:hideMark/>
          </w:tcPr>
          <w:p w14:paraId="7421D97C" w14:textId="77777777" w:rsidR="00B72DB5" w:rsidRPr="00B72DB5" w:rsidRDefault="00B72DB5" w:rsidP="00B72DB5">
            <w:pPr>
              <w:spacing w:before="120" w:after="0"/>
            </w:pPr>
            <w:r w:rsidRPr="00B72DB5">
              <w:t>76</w:t>
            </w:r>
          </w:p>
        </w:tc>
        <w:tc>
          <w:tcPr>
            <w:tcW w:w="0" w:type="auto"/>
            <w:vAlign w:val="center"/>
            <w:hideMark/>
          </w:tcPr>
          <w:p w14:paraId="51A15EA2" w14:textId="77777777" w:rsidR="00B72DB5" w:rsidRPr="00B72DB5" w:rsidRDefault="00B72DB5" w:rsidP="00B72DB5">
            <w:pPr>
              <w:spacing w:before="120" w:after="0"/>
            </w:pPr>
            <w:r w:rsidRPr="00B72DB5">
              <w:t>+16</w:t>
            </w:r>
          </w:p>
        </w:tc>
        <w:tc>
          <w:tcPr>
            <w:tcW w:w="0" w:type="auto"/>
            <w:vAlign w:val="center"/>
            <w:hideMark/>
          </w:tcPr>
          <w:p w14:paraId="36B85EF8" w14:textId="77777777" w:rsidR="00B72DB5" w:rsidRPr="00B72DB5" w:rsidRDefault="00B72DB5" w:rsidP="00B72DB5">
            <w:pPr>
              <w:spacing w:before="120" w:after="0"/>
            </w:pPr>
            <w:r w:rsidRPr="00B72DB5">
              <w:t>Up</w:t>
            </w:r>
          </w:p>
        </w:tc>
      </w:tr>
      <w:tr w:rsidR="00B72DB5" w:rsidRPr="00B72DB5" w14:paraId="2BB3481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E1BF6C" w14:textId="77777777" w:rsidR="00B72DB5" w:rsidRPr="00B72DB5" w:rsidRDefault="00B72DB5" w:rsidP="00B72DB5">
            <w:pPr>
              <w:spacing w:before="120" w:after="0"/>
            </w:pPr>
            <w:r w:rsidRPr="00B72DB5">
              <w:t>6</w:t>
            </w:r>
          </w:p>
        </w:tc>
        <w:tc>
          <w:tcPr>
            <w:tcW w:w="0" w:type="auto"/>
            <w:vAlign w:val="center"/>
            <w:hideMark/>
          </w:tcPr>
          <w:p w14:paraId="1B7966C2" w14:textId="77777777" w:rsidR="00B72DB5" w:rsidRPr="00B72DB5" w:rsidRDefault="00B72DB5" w:rsidP="00B72DB5">
            <w:pPr>
              <w:spacing w:before="120" w:after="0"/>
            </w:pPr>
            <w:r w:rsidRPr="00B72DB5">
              <w:t>Legislative advocacy &amp; public funding guidance</w:t>
            </w:r>
          </w:p>
        </w:tc>
        <w:tc>
          <w:tcPr>
            <w:tcW w:w="0" w:type="auto"/>
            <w:vAlign w:val="center"/>
            <w:hideMark/>
          </w:tcPr>
          <w:p w14:paraId="1B67CFC2" w14:textId="77777777" w:rsidR="00B72DB5" w:rsidRPr="00B72DB5" w:rsidRDefault="00B72DB5" w:rsidP="00B72DB5">
            <w:pPr>
              <w:spacing w:before="120" w:after="0"/>
            </w:pPr>
            <w:r w:rsidRPr="00B72DB5">
              <w:t>60</w:t>
            </w:r>
          </w:p>
        </w:tc>
        <w:tc>
          <w:tcPr>
            <w:tcW w:w="0" w:type="auto"/>
            <w:vAlign w:val="center"/>
            <w:hideMark/>
          </w:tcPr>
          <w:p w14:paraId="789A108D" w14:textId="77777777" w:rsidR="00B72DB5" w:rsidRPr="00B72DB5" w:rsidRDefault="00B72DB5" w:rsidP="00B72DB5">
            <w:pPr>
              <w:spacing w:before="120" w:after="0"/>
            </w:pPr>
            <w:r w:rsidRPr="00B72DB5">
              <w:t>72</w:t>
            </w:r>
          </w:p>
        </w:tc>
        <w:tc>
          <w:tcPr>
            <w:tcW w:w="0" w:type="auto"/>
            <w:vAlign w:val="center"/>
            <w:hideMark/>
          </w:tcPr>
          <w:p w14:paraId="4979F193" w14:textId="77777777" w:rsidR="00B72DB5" w:rsidRPr="00B72DB5" w:rsidRDefault="00B72DB5" w:rsidP="00B72DB5">
            <w:pPr>
              <w:spacing w:before="120" w:after="0"/>
            </w:pPr>
            <w:r w:rsidRPr="00B72DB5">
              <w:t>+12</w:t>
            </w:r>
          </w:p>
        </w:tc>
        <w:tc>
          <w:tcPr>
            <w:tcW w:w="0" w:type="auto"/>
            <w:vAlign w:val="center"/>
            <w:hideMark/>
          </w:tcPr>
          <w:p w14:paraId="66357415" w14:textId="77777777" w:rsidR="00B72DB5" w:rsidRPr="00B72DB5" w:rsidRDefault="00B72DB5" w:rsidP="00B72DB5">
            <w:pPr>
              <w:spacing w:before="120" w:after="0"/>
            </w:pPr>
            <w:r w:rsidRPr="00B72DB5">
              <w:t>Up</w:t>
            </w:r>
          </w:p>
        </w:tc>
      </w:tr>
      <w:tr w:rsidR="00B72DB5" w:rsidRPr="00B72DB5" w14:paraId="0C884D8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E22507" w14:textId="77777777" w:rsidR="00B72DB5" w:rsidRPr="00B72DB5" w:rsidRDefault="00B72DB5" w:rsidP="00B72DB5">
            <w:pPr>
              <w:spacing w:before="120" w:after="0"/>
            </w:pPr>
            <w:r w:rsidRPr="00B72DB5">
              <w:t>7</w:t>
            </w:r>
          </w:p>
        </w:tc>
        <w:tc>
          <w:tcPr>
            <w:tcW w:w="0" w:type="auto"/>
            <w:vAlign w:val="center"/>
            <w:hideMark/>
          </w:tcPr>
          <w:p w14:paraId="59B342A0" w14:textId="77777777" w:rsidR="00B72DB5" w:rsidRPr="00B72DB5" w:rsidRDefault="00B72DB5" w:rsidP="00B72DB5">
            <w:pPr>
              <w:spacing w:before="120" w:after="0"/>
            </w:pPr>
            <w:r w:rsidRPr="00B72DB5">
              <w:t>Technical training &amp; certification programs</w:t>
            </w:r>
          </w:p>
        </w:tc>
        <w:tc>
          <w:tcPr>
            <w:tcW w:w="0" w:type="auto"/>
            <w:vAlign w:val="center"/>
            <w:hideMark/>
          </w:tcPr>
          <w:p w14:paraId="4D0FE019" w14:textId="77777777" w:rsidR="00B72DB5" w:rsidRPr="00B72DB5" w:rsidRDefault="00B72DB5" w:rsidP="00B72DB5">
            <w:pPr>
              <w:spacing w:before="120" w:after="0"/>
            </w:pPr>
            <w:r w:rsidRPr="00B72DB5">
              <w:t>100</w:t>
            </w:r>
          </w:p>
        </w:tc>
        <w:tc>
          <w:tcPr>
            <w:tcW w:w="0" w:type="auto"/>
            <w:vAlign w:val="center"/>
            <w:hideMark/>
          </w:tcPr>
          <w:p w14:paraId="7514EF1A" w14:textId="77777777" w:rsidR="00B72DB5" w:rsidRPr="00B72DB5" w:rsidRDefault="00B72DB5" w:rsidP="00B72DB5">
            <w:pPr>
              <w:spacing w:before="120" w:after="0"/>
            </w:pPr>
            <w:r w:rsidRPr="00B72DB5">
              <w:t>58</w:t>
            </w:r>
          </w:p>
        </w:tc>
        <w:tc>
          <w:tcPr>
            <w:tcW w:w="0" w:type="auto"/>
            <w:vAlign w:val="center"/>
            <w:hideMark/>
          </w:tcPr>
          <w:p w14:paraId="3F25B859" w14:textId="77777777" w:rsidR="00B72DB5" w:rsidRPr="00B72DB5" w:rsidRDefault="00B72DB5" w:rsidP="00B72DB5">
            <w:pPr>
              <w:spacing w:before="120" w:after="0"/>
            </w:pPr>
            <w:r w:rsidRPr="00B72DB5">
              <w:t>-42</w:t>
            </w:r>
          </w:p>
        </w:tc>
        <w:tc>
          <w:tcPr>
            <w:tcW w:w="0" w:type="auto"/>
            <w:vAlign w:val="center"/>
            <w:hideMark/>
          </w:tcPr>
          <w:p w14:paraId="251E0A92" w14:textId="77777777" w:rsidR="00B72DB5" w:rsidRPr="00B72DB5" w:rsidRDefault="00B72DB5" w:rsidP="00B72DB5">
            <w:pPr>
              <w:spacing w:before="120" w:after="0"/>
            </w:pPr>
            <w:r w:rsidRPr="00B72DB5">
              <w:t>Down</w:t>
            </w:r>
          </w:p>
        </w:tc>
      </w:tr>
      <w:tr w:rsidR="00B72DB5" w:rsidRPr="00B72DB5" w14:paraId="53BBC1A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12AFEC" w14:textId="77777777" w:rsidR="00B72DB5" w:rsidRPr="00B72DB5" w:rsidRDefault="00B72DB5" w:rsidP="00B72DB5">
            <w:pPr>
              <w:spacing w:before="120" w:after="0"/>
            </w:pPr>
            <w:r w:rsidRPr="00B72DB5">
              <w:t>8</w:t>
            </w:r>
          </w:p>
        </w:tc>
        <w:tc>
          <w:tcPr>
            <w:tcW w:w="0" w:type="auto"/>
            <w:vAlign w:val="center"/>
            <w:hideMark/>
          </w:tcPr>
          <w:p w14:paraId="3BF3CAF3" w14:textId="77777777" w:rsidR="00B72DB5" w:rsidRPr="00B72DB5" w:rsidRDefault="00B72DB5" w:rsidP="00B72DB5">
            <w:pPr>
              <w:spacing w:before="120" w:after="0"/>
            </w:pPr>
            <w:r w:rsidRPr="00B72DB5">
              <w:t>Resource library &amp; safety guidelines</w:t>
            </w:r>
          </w:p>
        </w:tc>
        <w:tc>
          <w:tcPr>
            <w:tcW w:w="0" w:type="auto"/>
            <w:vAlign w:val="center"/>
            <w:hideMark/>
          </w:tcPr>
          <w:p w14:paraId="12BD9A6E" w14:textId="77777777" w:rsidR="00B72DB5" w:rsidRPr="00B72DB5" w:rsidRDefault="00B72DB5" w:rsidP="00B72DB5">
            <w:pPr>
              <w:spacing w:before="120" w:after="0"/>
            </w:pPr>
            <w:r w:rsidRPr="00B72DB5">
              <w:t>100</w:t>
            </w:r>
          </w:p>
        </w:tc>
        <w:tc>
          <w:tcPr>
            <w:tcW w:w="0" w:type="auto"/>
            <w:vAlign w:val="center"/>
            <w:hideMark/>
          </w:tcPr>
          <w:p w14:paraId="0EDA32C0" w14:textId="77777777" w:rsidR="00B72DB5" w:rsidRPr="00B72DB5" w:rsidRDefault="00B72DB5" w:rsidP="00B72DB5">
            <w:pPr>
              <w:spacing w:before="120" w:after="0"/>
            </w:pPr>
            <w:r w:rsidRPr="00B72DB5">
              <w:t>56</w:t>
            </w:r>
          </w:p>
        </w:tc>
        <w:tc>
          <w:tcPr>
            <w:tcW w:w="0" w:type="auto"/>
            <w:vAlign w:val="center"/>
            <w:hideMark/>
          </w:tcPr>
          <w:p w14:paraId="63D9997C" w14:textId="77777777" w:rsidR="00B72DB5" w:rsidRPr="00B72DB5" w:rsidRDefault="00B72DB5" w:rsidP="00B72DB5">
            <w:pPr>
              <w:spacing w:before="120" w:after="0"/>
            </w:pPr>
            <w:r w:rsidRPr="00B72DB5">
              <w:t>-44</w:t>
            </w:r>
          </w:p>
        </w:tc>
        <w:tc>
          <w:tcPr>
            <w:tcW w:w="0" w:type="auto"/>
            <w:vAlign w:val="center"/>
            <w:hideMark/>
          </w:tcPr>
          <w:p w14:paraId="2DE20A8E" w14:textId="77777777" w:rsidR="00B72DB5" w:rsidRPr="00B72DB5" w:rsidRDefault="00B72DB5" w:rsidP="00B72DB5">
            <w:pPr>
              <w:spacing w:before="120" w:after="0"/>
            </w:pPr>
            <w:r w:rsidRPr="00B72DB5">
              <w:t>Down</w:t>
            </w:r>
          </w:p>
        </w:tc>
      </w:tr>
      <w:tr w:rsidR="00B72DB5" w:rsidRPr="00B72DB5" w14:paraId="4BADA24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00015F" w14:textId="77777777" w:rsidR="00B72DB5" w:rsidRPr="00B72DB5" w:rsidRDefault="00B72DB5" w:rsidP="00B72DB5">
            <w:pPr>
              <w:spacing w:before="120" w:after="0"/>
            </w:pPr>
            <w:r w:rsidRPr="00B72DB5">
              <w:lastRenderedPageBreak/>
              <w:t>9</w:t>
            </w:r>
          </w:p>
        </w:tc>
        <w:tc>
          <w:tcPr>
            <w:tcW w:w="0" w:type="auto"/>
            <w:vAlign w:val="center"/>
            <w:hideMark/>
          </w:tcPr>
          <w:p w14:paraId="4C418914" w14:textId="77777777" w:rsidR="00B72DB5" w:rsidRPr="00B72DB5" w:rsidRDefault="00B72DB5" w:rsidP="00B72DB5">
            <w:pPr>
              <w:spacing w:before="120" w:after="0"/>
            </w:pPr>
            <w:r w:rsidRPr="00B72DB5">
              <w:t>Industry events and vendor exposure</w:t>
            </w:r>
          </w:p>
        </w:tc>
        <w:tc>
          <w:tcPr>
            <w:tcW w:w="0" w:type="auto"/>
            <w:vAlign w:val="center"/>
            <w:hideMark/>
          </w:tcPr>
          <w:p w14:paraId="0934AFDE" w14:textId="77777777" w:rsidR="00B72DB5" w:rsidRPr="00B72DB5" w:rsidRDefault="00B72DB5" w:rsidP="00B72DB5">
            <w:pPr>
              <w:spacing w:before="120" w:after="0"/>
            </w:pPr>
            <w:r w:rsidRPr="00B72DB5">
              <w:t>100</w:t>
            </w:r>
          </w:p>
        </w:tc>
        <w:tc>
          <w:tcPr>
            <w:tcW w:w="0" w:type="auto"/>
            <w:vAlign w:val="center"/>
            <w:hideMark/>
          </w:tcPr>
          <w:p w14:paraId="454B84D5" w14:textId="77777777" w:rsidR="00B72DB5" w:rsidRPr="00B72DB5" w:rsidRDefault="00B72DB5" w:rsidP="00B72DB5">
            <w:pPr>
              <w:spacing w:before="120" w:after="0"/>
            </w:pPr>
            <w:r w:rsidRPr="00B72DB5">
              <w:t>54</w:t>
            </w:r>
          </w:p>
        </w:tc>
        <w:tc>
          <w:tcPr>
            <w:tcW w:w="0" w:type="auto"/>
            <w:vAlign w:val="center"/>
            <w:hideMark/>
          </w:tcPr>
          <w:p w14:paraId="7D33A728" w14:textId="77777777" w:rsidR="00B72DB5" w:rsidRPr="00B72DB5" w:rsidRDefault="00B72DB5" w:rsidP="00B72DB5">
            <w:pPr>
              <w:spacing w:before="120" w:after="0"/>
            </w:pPr>
            <w:r w:rsidRPr="00B72DB5">
              <w:t>-46</w:t>
            </w:r>
          </w:p>
        </w:tc>
        <w:tc>
          <w:tcPr>
            <w:tcW w:w="0" w:type="auto"/>
            <w:vAlign w:val="center"/>
            <w:hideMark/>
          </w:tcPr>
          <w:p w14:paraId="41A0AA2F" w14:textId="77777777" w:rsidR="00B72DB5" w:rsidRPr="00B72DB5" w:rsidRDefault="00B72DB5" w:rsidP="00B72DB5">
            <w:pPr>
              <w:spacing w:before="120" w:after="0"/>
            </w:pPr>
            <w:r w:rsidRPr="00B72DB5">
              <w:t>Down</w:t>
            </w:r>
          </w:p>
        </w:tc>
      </w:tr>
    </w:tbl>
    <w:p w14:paraId="70BD799D" w14:textId="77777777" w:rsidR="00685479" w:rsidRDefault="00685479" w:rsidP="00B72DB5">
      <w:pPr>
        <w:spacing w:before="120" w:after="0"/>
        <w:rPr>
          <w:b/>
          <w:bCs/>
        </w:rPr>
      </w:pPr>
    </w:p>
    <w:p w14:paraId="0D2B53C7" w14:textId="29A062BF" w:rsidR="00685479" w:rsidRDefault="00A8285B" w:rsidP="00B72DB5">
      <w:pPr>
        <w:spacing w:before="120" w:after="0"/>
        <w:rPr>
          <w:b/>
          <w:bCs/>
        </w:rPr>
      </w:pPr>
      <w:r>
        <w:rPr>
          <w:b/>
          <w:bCs/>
        </w:rPr>
        <w:t>Visual Summary:</w:t>
      </w:r>
    </w:p>
    <w:p w14:paraId="07F98683" w14:textId="3E23833B" w:rsidR="00685479" w:rsidRDefault="00A8285B" w:rsidP="00B72DB5">
      <w:pPr>
        <w:spacing w:before="120" w:after="0"/>
        <w:rPr>
          <w:b/>
          <w:bCs/>
        </w:rPr>
      </w:pPr>
      <w:r w:rsidRPr="00A8285B">
        <w:rPr>
          <w:b/>
          <w:bCs/>
        </w:rPr>
        <w:drawing>
          <wp:inline distT="0" distB="0" distL="0" distR="0" wp14:anchorId="736E438D" wp14:editId="3DE5C185">
            <wp:extent cx="5943600" cy="3252470"/>
            <wp:effectExtent l="0" t="0" r="0" b="5080"/>
            <wp:docPr id="16" name="Picture 15" descr="A screenshot of a computer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EABD05EA-77A2-30AD-E9A5-F9563A9907F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5" descr="A screenshot of a computer&#10;&#10;AI-generated content may be incorrect.">
                      <a:extLst>
                        <a:ext uri="{FF2B5EF4-FFF2-40B4-BE49-F238E27FC236}">
                          <a16:creationId xmlns:a16="http://schemas.microsoft.com/office/drawing/2014/main" id="{EABD05EA-77A2-30AD-E9A5-F9563A9907F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rcRect t="149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52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EFB761" w14:textId="0AAA02D8" w:rsidR="00B72DB5" w:rsidRPr="00B72DB5" w:rsidRDefault="00B72DB5" w:rsidP="00B72DB5">
      <w:pPr>
        <w:spacing w:before="120" w:after="0"/>
        <w:rPr>
          <w:b/>
          <w:bCs/>
        </w:rPr>
      </w:pPr>
      <w:r w:rsidRPr="00B72DB5">
        <w:rPr>
          <w:b/>
          <w:bCs/>
        </w:rPr>
        <w:t>B) Matrix: Value Lever Risk</w:t>
      </w:r>
    </w:p>
    <w:p w14:paraId="395AE19A" w14:textId="77777777" w:rsidR="00B72DB5" w:rsidRPr="00B72DB5" w:rsidRDefault="00B72DB5" w:rsidP="00B72DB5">
      <w:pPr>
        <w:spacing w:before="120" w:after="0"/>
      </w:pPr>
      <w:r w:rsidRPr="00B72DB5">
        <w:t>This shows which value levers are commoditizing and where monetization risk lies.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7"/>
        <w:gridCol w:w="1302"/>
        <w:gridCol w:w="1127"/>
        <w:gridCol w:w="1254"/>
        <w:gridCol w:w="2270"/>
      </w:tblGrid>
      <w:tr w:rsidR="00B72DB5" w:rsidRPr="00B72DB5" w14:paraId="03563F76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E8D90DB" w14:textId="77777777" w:rsidR="00B72DB5" w:rsidRPr="00B72DB5" w:rsidRDefault="00B72DB5" w:rsidP="00B72DB5">
            <w:pPr>
              <w:spacing w:before="120" w:after="0"/>
              <w:rPr>
                <w:b/>
                <w:bCs/>
              </w:rPr>
            </w:pPr>
            <w:r w:rsidRPr="00B72DB5">
              <w:rPr>
                <w:b/>
                <w:bCs/>
              </w:rPr>
              <w:t>Value</w:t>
            </w:r>
          </w:p>
        </w:tc>
        <w:tc>
          <w:tcPr>
            <w:tcW w:w="0" w:type="auto"/>
            <w:vAlign w:val="center"/>
            <w:hideMark/>
          </w:tcPr>
          <w:p w14:paraId="47FB1F70" w14:textId="77777777" w:rsidR="00B72DB5" w:rsidRPr="00B72DB5" w:rsidRDefault="00B72DB5" w:rsidP="00B72DB5">
            <w:pPr>
              <w:spacing w:before="120" w:after="0"/>
              <w:rPr>
                <w:b/>
                <w:bCs/>
              </w:rPr>
            </w:pPr>
            <w:r w:rsidRPr="00B72DB5">
              <w:rPr>
                <w:b/>
                <w:bCs/>
              </w:rPr>
              <w:t>Valued Today</w:t>
            </w:r>
          </w:p>
        </w:tc>
        <w:tc>
          <w:tcPr>
            <w:tcW w:w="0" w:type="auto"/>
            <w:vAlign w:val="center"/>
            <w:hideMark/>
          </w:tcPr>
          <w:p w14:paraId="07F1EB86" w14:textId="77777777" w:rsidR="00B72DB5" w:rsidRPr="00B72DB5" w:rsidRDefault="00B72DB5" w:rsidP="00B72DB5">
            <w:pPr>
              <w:spacing w:before="120" w:after="0"/>
              <w:rPr>
                <w:b/>
                <w:bCs/>
              </w:rPr>
            </w:pPr>
            <w:r w:rsidRPr="00B72DB5">
              <w:rPr>
                <w:b/>
                <w:bCs/>
              </w:rPr>
              <w:t>Still Matter</w:t>
            </w:r>
          </w:p>
        </w:tc>
        <w:tc>
          <w:tcPr>
            <w:tcW w:w="0" w:type="auto"/>
            <w:vAlign w:val="center"/>
            <w:hideMark/>
          </w:tcPr>
          <w:p w14:paraId="66E5335E" w14:textId="77777777" w:rsidR="00B72DB5" w:rsidRPr="00B72DB5" w:rsidRDefault="00B72DB5" w:rsidP="00B72DB5">
            <w:pPr>
              <w:spacing w:before="120" w:after="0"/>
              <w:rPr>
                <w:b/>
                <w:bCs/>
              </w:rPr>
            </w:pPr>
            <w:r w:rsidRPr="00B72DB5">
              <w:rPr>
                <w:b/>
                <w:bCs/>
              </w:rPr>
              <w:t>Table Stakes</w:t>
            </w:r>
          </w:p>
        </w:tc>
        <w:tc>
          <w:tcPr>
            <w:tcW w:w="0" w:type="auto"/>
            <w:vAlign w:val="center"/>
            <w:hideMark/>
          </w:tcPr>
          <w:p w14:paraId="01F08621" w14:textId="77777777" w:rsidR="00B72DB5" w:rsidRPr="00B72DB5" w:rsidRDefault="00B72DB5" w:rsidP="00B72DB5">
            <w:pPr>
              <w:spacing w:before="120" w:after="0"/>
              <w:rPr>
                <w:b/>
                <w:bCs/>
              </w:rPr>
            </w:pPr>
            <w:r w:rsidRPr="00B72DB5">
              <w:rPr>
                <w:b/>
                <w:bCs/>
              </w:rPr>
              <w:t>Monetization Risk (1–5)</w:t>
            </w:r>
          </w:p>
        </w:tc>
      </w:tr>
      <w:tr w:rsidR="00B72DB5" w:rsidRPr="00B72DB5" w14:paraId="0EDB5FF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CD5070" w14:textId="77777777" w:rsidR="00B72DB5" w:rsidRPr="00B72DB5" w:rsidRDefault="00B72DB5" w:rsidP="00B72DB5">
            <w:pPr>
              <w:spacing w:before="120" w:after="0"/>
            </w:pPr>
            <w:r w:rsidRPr="00B72DB5">
              <w:t>Outcome-based safety certification</w:t>
            </w:r>
          </w:p>
        </w:tc>
        <w:tc>
          <w:tcPr>
            <w:tcW w:w="0" w:type="auto"/>
            <w:vAlign w:val="center"/>
            <w:hideMark/>
          </w:tcPr>
          <w:p w14:paraId="4593967E" w14:textId="77777777" w:rsidR="00B72DB5" w:rsidRPr="00B72DB5" w:rsidRDefault="00B72DB5" w:rsidP="00B72DB5">
            <w:pPr>
              <w:spacing w:before="120" w:after="0"/>
            </w:pPr>
            <w:r w:rsidRPr="00B72DB5">
              <w:t>High</w:t>
            </w:r>
          </w:p>
        </w:tc>
        <w:tc>
          <w:tcPr>
            <w:tcW w:w="0" w:type="auto"/>
            <w:vAlign w:val="center"/>
            <w:hideMark/>
          </w:tcPr>
          <w:p w14:paraId="4A014B1C" w14:textId="77777777" w:rsidR="00B72DB5" w:rsidRPr="00B72DB5" w:rsidRDefault="00B72DB5" w:rsidP="00B72DB5">
            <w:pPr>
              <w:spacing w:before="120" w:after="0"/>
            </w:pPr>
            <w:r w:rsidRPr="00B72DB5">
              <w:t>High</w:t>
            </w:r>
          </w:p>
        </w:tc>
        <w:tc>
          <w:tcPr>
            <w:tcW w:w="0" w:type="auto"/>
            <w:vAlign w:val="center"/>
            <w:hideMark/>
          </w:tcPr>
          <w:p w14:paraId="2EAB3F8C" w14:textId="77777777" w:rsidR="00B72DB5" w:rsidRPr="00B72DB5" w:rsidRDefault="00B72DB5" w:rsidP="00B72DB5">
            <w:pPr>
              <w:spacing w:before="120" w:after="0"/>
            </w:pPr>
            <w:r w:rsidRPr="00B72DB5">
              <w:t>No</w:t>
            </w:r>
          </w:p>
        </w:tc>
        <w:tc>
          <w:tcPr>
            <w:tcW w:w="0" w:type="auto"/>
            <w:vAlign w:val="center"/>
            <w:hideMark/>
          </w:tcPr>
          <w:p w14:paraId="7AB1B78C" w14:textId="77777777" w:rsidR="00B72DB5" w:rsidRPr="00B72DB5" w:rsidRDefault="00B72DB5" w:rsidP="00B72DB5">
            <w:pPr>
              <w:spacing w:before="120" w:after="0"/>
            </w:pPr>
            <w:r w:rsidRPr="00B72DB5">
              <w:t>1</w:t>
            </w:r>
          </w:p>
        </w:tc>
      </w:tr>
      <w:tr w:rsidR="00B72DB5" w:rsidRPr="00B72DB5" w14:paraId="3095223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FD1BA3" w14:textId="77777777" w:rsidR="00B72DB5" w:rsidRPr="00B72DB5" w:rsidRDefault="00B72DB5" w:rsidP="00B72DB5">
            <w:pPr>
              <w:spacing w:before="120" w:after="0"/>
            </w:pPr>
            <w:r w:rsidRPr="00B72DB5">
              <w:t>Interoperability &amp; standards leadership</w:t>
            </w:r>
          </w:p>
        </w:tc>
        <w:tc>
          <w:tcPr>
            <w:tcW w:w="0" w:type="auto"/>
            <w:vAlign w:val="center"/>
            <w:hideMark/>
          </w:tcPr>
          <w:p w14:paraId="591A09B1" w14:textId="77777777" w:rsidR="00B72DB5" w:rsidRPr="00B72DB5" w:rsidRDefault="00B72DB5" w:rsidP="00B72DB5">
            <w:pPr>
              <w:spacing w:before="120" w:after="0"/>
            </w:pPr>
            <w:r w:rsidRPr="00B72DB5">
              <w:t>High</w:t>
            </w:r>
          </w:p>
        </w:tc>
        <w:tc>
          <w:tcPr>
            <w:tcW w:w="0" w:type="auto"/>
            <w:vAlign w:val="center"/>
            <w:hideMark/>
          </w:tcPr>
          <w:p w14:paraId="56F29E18" w14:textId="77777777" w:rsidR="00B72DB5" w:rsidRPr="00B72DB5" w:rsidRDefault="00B72DB5" w:rsidP="00B72DB5">
            <w:pPr>
              <w:spacing w:before="120" w:after="0"/>
            </w:pPr>
            <w:r w:rsidRPr="00B72DB5">
              <w:t>High</w:t>
            </w:r>
          </w:p>
        </w:tc>
        <w:tc>
          <w:tcPr>
            <w:tcW w:w="0" w:type="auto"/>
            <w:vAlign w:val="center"/>
            <w:hideMark/>
          </w:tcPr>
          <w:p w14:paraId="34A7F3E8" w14:textId="77777777" w:rsidR="00B72DB5" w:rsidRPr="00B72DB5" w:rsidRDefault="00B72DB5" w:rsidP="00B72DB5">
            <w:pPr>
              <w:spacing w:before="120" w:after="0"/>
            </w:pPr>
            <w:r w:rsidRPr="00B72DB5">
              <w:t>No</w:t>
            </w:r>
          </w:p>
        </w:tc>
        <w:tc>
          <w:tcPr>
            <w:tcW w:w="0" w:type="auto"/>
            <w:vAlign w:val="center"/>
            <w:hideMark/>
          </w:tcPr>
          <w:p w14:paraId="2A44E86B" w14:textId="77777777" w:rsidR="00B72DB5" w:rsidRPr="00B72DB5" w:rsidRDefault="00B72DB5" w:rsidP="00B72DB5">
            <w:pPr>
              <w:spacing w:before="120" w:after="0"/>
            </w:pPr>
            <w:r w:rsidRPr="00B72DB5">
              <w:t>2</w:t>
            </w:r>
          </w:p>
        </w:tc>
      </w:tr>
      <w:tr w:rsidR="00B72DB5" w:rsidRPr="00B72DB5" w14:paraId="017D429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4F8867" w14:textId="77777777" w:rsidR="00B72DB5" w:rsidRPr="00B72DB5" w:rsidRDefault="00B72DB5" w:rsidP="00B72DB5">
            <w:pPr>
              <w:spacing w:before="120" w:after="0"/>
            </w:pPr>
            <w:r w:rsidRPr="00B72DB5">
              <w:t>Trust-based policy guidance</w:t>
            </w:r>
          </w:p>
        </w:tc>
        <w:tc>
          <w:tcPr>
            <w:tcW w:w="0" w:type="auto"/>
            <w:vAlign w:val="center"/>
            <w:hideMark/>
          </w:tcPr>
          <w:p w14:paraId="5A30B620" w14:textId="77777777" w:rsidR="00B72DB5" w:rsidRPr="00B72DB5" w:rsidRDefault="00B72DB5" w:rsidP="00B72DB5">
            <w:pPr>
              <w:spacing w:before="120" w:after="0"/>
            </w:pPr>
            <w:r w:rsidRPr="00B72DB5">
              <w:t>High</w:t>
            </w:r>
          </w:p>
        </w:tc>
        <w:tc>
          <w:tcPr>
            <w:tcW w:w="0" w:type="auto"/>
            <w:vAlign w:val="center"/>
            <w:hideMark/>
          </w:tcPr>
          <w:p w14:paraId="19C7DA3F" w14:textId="77777777" w:rsidR="00B72DB5" w:rsidRPr="00B72DB5" w:rsidRDefault="00B72DB5" w:rsidP="00B72DB5">
            <w:pPr>
              <w:spacing w:before="120" w:after="0"/>
            </w:pPr>
            <w:r w:rsidRPr="00B72DB5">
              <w:t>High</w:t>
            </w:r>
          </w:p>
        </w:tc>
        <w:tc>
          <w:tcPr>
            <w:tcW w:w="0" w:type="auto"/>
            <w:vAlign w:val="center"/>
            <w:hideMark/>
          </w:tcPr>
          <w:p w14:paraId="230C5697" w14:textId="77777777" w:rsidR="00B72DB5" w:rsidRPr="00B72DB5" w:rsidRDefault="00B72DB5" w:rsidP="00B72DB5">
            <w:pPr>
              <w:spacing w:before="120" w:after="0"/>
            </w:pPr>
            <w:r w:rsidRPr="00B72DB5">
              <w:t>Partial</w:t>
            </w:r>
          </w:p>
        </w:tc>
        <w:tc>
          <w:tcPr>
            <w:tcW w:w="0" w:type="auto"/>
            <w:vAlign w:val="center"/>
            <w:hideMark/>
          </w:tcPr>
          <w:p w14:paraId="2B629F12" w14:textId="77777777" w:rsidR="00B72DB5" w:rsidRPr="00B72DB5" w:rsidRDefault="00B72DB5" w:rsidP="00B72DB5">
            <w:pPr>
              <w:spacing w:before="120" w:after="0"/>
            </w:pPr>
            <w:r w:rsidRPr="00B72DB5">
              <w:t>2</w:t>
            </w:r>
          </w:p>
        </w:tc>
      </w:tr>
      <w:tr w:rsidR="00B72DB5" w:rsidRPr="00B72DB5" w14:paraId="4940011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6F8406" w14:textId="77777777" w:rsidR="00B72DB5" w:rsidRPr="00B72DB5" w:rsidRDefault="00B72DB5" w:rsidP="00B72DB5">
            <w:pPr>
              <w:spacing w:before="120" w:after="0"/>
            </w:pPr>
            <w:r w:rsidRPr="00B72DB5">
              <w:t>Human-led audits and V2X validation</w:t>
            </w:r>
          </w:p>
        </w:tc>
        <w:tc>
          <w:tcPr>
            <w:tcW w:w="0" w:type="auto"/>
            <w:vAlign w:val="center"/>
            <w:hideMark/>
          </w:tcPr>
          <w:p w14:paraId="7A28C1BB" w14:textId="77777777" w:rsidR="00B72DB5" w:rsidRPr="00B72DB5" w:rsidRDefault="00B72DB5" w:rsidP="00B72DB5">
            <w:pPr>
              <w:spacing w:before="120" w:after="0"/>
            </w:pPr>
            <w:r w:rsidRPr="00B72DB5">
              <w:t>High</w:t>
            </w:r>
          </w:p>
        </w:tc>
        <w:tc>
          <w:tcPr>
            <w:tcW w:w="0" w:type="auto"/>
            <w:vAlign w:val="center"/>
            <w:hideMark/>
          </w:tcPr>
          <w:p w14:paraId="089D094A" w14:textId="77777777" w:rsidR="00B72DB5" w:rsidRPr="00B72DB5" w:rsidRDefault="00B72DB5" w:rsidP="00B72DB5">
            <w:pPr>
              <w:spacing w:before="120" w:after="0"/>
            </w:pPr>
            <w:r w:rsidRPr="00B72DB5">
              <w:t>Med</w:t>
            </w:r>
          </w:p>
        </w:tc>
        <w:tc>
          <w:tcPr>
            <w:tcW w:w="0" w:type="auto"/>
            <w:vAlign w:val="center"/>
            <w:hideMark/>
          </w:tcPr>
          <w:p w14:paraId="0B7A1428" w14:textId="77777777" w:rsidR="00B72DB5" w:rsidRPr="00B72DB5" w:rsidRDefault="00B72DB5" w:rsidP="00B72DB5">
            <w:pPr>
              <w:spacing w:before="120" w:after="0"/>
            </w:pPr>
            <w:r w:rsidRPr="00B72DB5">
              <w:t>No</w:t>
            </w:r>
          </w:p>
        </w:tc>
        <w:tc>
          <w:tcPr>
            <w:tcW w:w="0" w:type="auto"/>
            <w:vAlign w:val="center"/>
            <w:hideMark/>
          </w:tcPr>
          <w:p w14:paraId="656405D1" w14:textId="77777777" w:rsidR="00B72DB5" w:rsidRPr="00B72DB5" w:rsidRDefault="00B72DB5" w:rsidP="00B72DB5">
            <w:pPr>
              <w:spacing w:before="120" w:after="0"/>
            </w:pPr>
            <w:r w:rsidRPr="00B72DB5">
              <w:t>3</w:t>
            </w:r>
          </w:p>
        </w:tc>
      </w:tr>
      <w:tr w:rsidR="00B72DB5" w:rsidRPr="00B72DB5" w14:paraId="1186542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777560" w14:textId="77777777" w:rsidR="00B72DB5" w:rsidRPr="00B72DB5" w:rsidRDefault="00B72DB5" w:rsidP="00B72DB5">
            <w:pPr>
              <w:spacing w:before="120" w:after="0"/>
            </w:pPr>
            <w:r w:rsidRPr="00B72DB5">
              <w:lastRenderedPageBreak/>
              <w:t>Smart infrastructure integration kits</w:t>
            </w:r>
          </w:p>
        </w:tc>
        <w:tc>
          <w:tcPr>
            <w:tcW w:w="0" w:type="auto"/>
            <w:vAlign w:val="center"/>
            <w:hideMark/>
          </w:tcPr>
          <w:p w14:paraId="7CDEB46B" w14:textId="77777777" w:rsidR="00B72DB5" w:rsidRPr="00B72DB5" w:rsidRDefault="00B72DB5" w:rsidP="00B72DB5">
            <w:pPr>
              <w:spacing w:before="120" w:after="0"/>
            </w:pPr>
            <w:r w:rsidRPr="00B72DB5">
              <w:t>High</w:t>
            </w:r>
          </w:p>
        </w:tc>
        <w:tc>
          <w:tcPr>
            <w:tcW w:w="0" w:type="auto"/>
            <w:vAlign w:val="center"/>
            <w:hideMark/>
          </w:tcPr>
          <w:p w14:paraId="06BC7731" w14:textId="77777777" w:rsidR="00B72DB5" w:rsidRPr="00B72DB5" w:rsidRDefault="00B72DB5" w:rsidP="00B72DB5">
            <w:pPr>
              <w:spacing w:before="120" w:after="0"/>
            </w:pPr>
            <w:r w:rsidRPr="00B72DB5">
              <w:t>Med</w:t>
            </w:r>
          </w:p>
        </w:tc>
        <w:tc>
          <w:tcPr>
            <w:tcW w:w="0" w:type="auto"/>
            <w:vAlign w:val="center"/>
            <w:hideMark/>
          </w:tcPr>
          <w:p w14:paraId="07355245" w14:textId="77777777" w:rsidR="00B72DB5" w:rsidRPr="00B72DB5" w:rsidRDefault="00B72DB5" w:rsidP="00B72DB5">
            <w:pPr>
              <w:spacing w:before="120" w:after="0"/>
            </w:pPr>
            <w:r w:rsidRPr="00B72DB5">
              <w:t>Partial</w:t>
            </w:r>
          </w:p>
        </w:tc>
        <w:tc>
          <w:tcPr>
            <w:tcW w:w="0" w:type="auto"/>
            <w:vAlign w:val="center"/>
            <w:hideMark/>
          </w:tcPr>
          <w:p w14:paraId="23A1CEC6" w14:textId="77777777" w:rsidR="00B72DB5" w:rsidRPr="00B72DB5" w:rsidRDefault="00B72DB5" w:rsidP="00B72DB5">
            <w:pPr>
              <w:spacing w:before="120" w:after="0"/>
            </w:pPr>
            <w:r w:rsidRPr="00B72DB5">
              <w:t>3</w:t>
            </w:r>
          </w:p>
        </w:tc>
      </w:tr>
      <w:tr w:rsidR="00B72DB5" w:rsidRPr="00B72DB5" w14:paraId="2B967EB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56336D" w14:textId="77777777" w:rsidR="00B72DB5" w:rsidRPr="00B72DB5" w:rsidRDefault="00B72DB5" w:rsidP="00B72DB5">
            <w:pPr>
              <w:spacing w:before="120" w:after="0"/>
            </w:pPr>
            <w:r w:rsidRPr="00B72DB5">
              <w:t>Legislative advocacy &amp; funding support</w:t>
            </w:r>
          </w:p>
        </w:tc>
        <w:tc>
          <w:tcPr>
            <w:tcW w:w="0" w:type="auto"/>
            <w:vAlign w:val="center"/>
            <w:hideMark/>
          </w:tcPr>
          <w:p w14:paraId="2AFFDAB4" w14:textId="77777777" w:rsidR="00B72DB5" w:rsidRPr="00B72DB5" w:rsidRDefault="00B72DB5" w:rsidP="00B72DB5">
            <w:pPr>
              <w:spacing w:before="120" w:after="0"/>
            </w:pPr>
            <w:r w:rsidRPr="00B72DB5">
              <w:t>High</w:t>
            </w:r>
          </w:p>
        </w:tc>
        <w:tc>
          <w:tcPr>
            <w:tcW w:w="0" w:type="auto"/>
            <w:vAlign w:val="center"/>
            <w:hideMark/>
          </w:tcPr>
          <w:p w14:paraId="3475F9C4" w14:textId="77777777" w:rsidR="00B72DB5" w:rsidRPr="00B72DB5" w:rsidRDefault="00B72DB5" w:rsidP="00B72DB5">
            <w:pPr>
              <w:spacing w:before="120" w:after="0"/>
            </w:pPr>
            <w:r w:rsidRPr="00B72DB5">
              <w:t>Med</w:t>
            </w:r>
          </w:p>
        </w:tc>
        <w:tc>
          <w:tcPr>
            <w:tcW w:w="0" w:type="auto"/>
            <w:vAlign w:val="center"/>
            <w:hideMark/>
          </w:tcPr>
          <w:p w14:paraId="2CFBADE5" w14:textId="77777777" w:rsidR="00B72DB5" w:rsidRPr="00B72DB5" w:rsidRDefault="00B72DB5" w:rsidP="00B72DB5">
            <w:pPr>
              <w:spacing w:before="120" w:after="0"/>
            </w:pPr>
            <w:r w:rsidRPr="00B72DB5">
              <w:t>Partial</w:t>
            </w:r>
          </w:p>
        </w:tc>
        <w:tc>
          <w:tcPr>
            <w:tcW w:w="0" w:type="auto"/>
            <w:vAlign w:val="center"/>
            <w:hideMark/>
          </w:tcPr>
          <w:p w14:paraId="4E4AEDED" w14:textId="77777777" w:rsidR="00B72DB5" w:rsidRPr="00B72DB5" w:rsidRDefault="00B72DB5" w:rsidP="00B72DB5">
            <w:pPr>
              <w:spacing w:before="120" w:after="0"/>
            </w:pPr>
            <w:r w:rsidRPr="00B72DB5">
              <w:t>3</w:t>
            </w:r>
          </w:p>
        </w:tc>
      </w:tr>
      <w:tr w:rsidR="00B72DB5" w:rsidRPr="00B72DB5" w14:paraId="3945B5B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889969" w14:textId="77777777" w:rsidR="00B72DB5" w:rsidRPr="00B72DB5" w:rsidRDefault="00B72DB5" w:rsidP="00B72DB5">
            <w:pPr>
              <w:spacing w:before="120" w:after="0"/>
            </w:pPr>
            <w:r w:rsidRPr="00B72DB5">
              <w:t>Training &amp; certification programs</w:t>
            </w:r>
          </w:p>
        </w:tc>
        <w:tc>
          <w:tcPr>
            <w:tcW w:w="0" w:type="auto"/>
            <w:vAlign w:val="center"/>
            <w:hideMark/>
          </w:tcPr>
          <w:p w14:paraId="5E7223F0" w14:textId="77777777" w:rsidR="00B72DB5" w:rsidRPr="00B72DB5" w:rsidRDefault="00B72DB5" w:rsidP="00B72DB5">
            <w:pPr>
              <w:spacing w:before="120" w:after="0"/>
            </w:pPr>
            <w:r w:rsidRPr="00B72DB5">
              <w:t>High</w:t>
            </w:r>
          </w:p>
        </w:tc>
        <w:tc>
          <w:tcPr>
            <w:tcW w:w="0" w:type="auto"/>
            <w:vAlign w:val="center"/>
            <w:hideMark/>
          </w:tcPr>
          <w:p w14:paraId="5BD9A360" w14:textId="77777777" w:rsidR="00B72DB5" w:rsidRPr="00B72DB5" w:rsidRDefault="00B72DB5" w:rsidP="00B72DB5">
            <w:pPr>
              <w:spacing w:before="120" w:after="0"/>
            </w:pPr>
            <w:r w:rsidRPr="00B72DB5">
              <w:t>Med</w:t>
            </w:r>
          </w:p>
        </w:tc>
        <w:tc>
          <w:tcPr>
            <w:tcW w:w="0" w:type="auto"/>
            <w:vAlign w:val="center"/>
            <w:hideMark/>
          </w:tcPr>
          <w:p w14:paraId="475D7703" w14:textId="77777777" w:rsidR="00B72DB5" w:rsidRPr="00B72DB5" w:rsidRDefault="00B72DB5" w:rsidP="00B72DB5">
            <w:pPr>
              <w:spacing w:before="120" w:after="0"/>
            </w:pPr>
            <w:r w:rsidRPr="00B72DB5">
              <w:t>Yes</w:t>
            </w:r>
          </w:p>
        </w:tc>
        <w:tc>
          <w:tcPr>
            <w:tcW w:w="0" w:type="auto"/>
            <w:vAlign w:val="center"/>
            <w:hideMark/>
          </w:tcPr>
          <w:p w14:paraId="67AB7F76" w14:textId="77777777" w:rsidR="00B72DB5" w:rsidRPr="00B72DB5" w:rsidRDefault="00B72DB5" w:rsidP="00B72DB5">
            <w:pPr>
              <w:spacing w:before="120" w:after="0"/>
            </w:pPr>
            <w:r w:rsidRPr="00B72DB5">
              <w:t>4</w:t>
            </w:r>
          </w:p>
        </w:tc>
      </w:tr>
      <w:tr w:rsidR="00B72DB5" w:rsidRPr="00B72DB5" w14:paraId="3D09719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5A3F19" w14:textId="77777777" w:rsidR="00B72DB5" w:rsidRPr="00B72DB5" w:rsidRDefault="00B72DB5" w:rsidP="00B72DB5">
            <w:pPr>
              <w:spacing w:before="120" w:after="0"/>
            </w:pPr>
            <w:r w:rsidRPr="00B72DB5">
              <w:t>Resource library &amp; safety guidelines</w:t>
            </w:r>
          </w:p>
        </w:tc>
        <w:tc>
          <w:tcPr>
            <w:tcW w:w="0" w:type="auto"/>
            <w:vAlign w:val="center"/>
            <w:hideMark/>
          </w:tcPr>
          <w:p w14:paraId="1B336C57" w14:textId="77777777" w:rsidR="00B72DB5" w:rsidRPr="00B72DB5" w:rsidRDefault="00B72DB5" w:rsidP="00B72DB5">
            <w:pPr>
              <w:spacing w:before="120" w:after="0"/>
            </w:pPr>
            <w:r w:rsidRPr="00B72DB5">
              <w:t>High</w:t>
            </w:r>
          </w:p>
        </w:tc>
        <w:tc>
          <w:tcPr>
            <w:tcW w:w="0" w:type="auto"/>
            <w:vAlign w:val="center"/>
            <w:hideMark/>
          </w:tcPr>
          <w:p w14:paraId="1ECFF94F" w14:textId="77777777" w:rsidR="00B72DB5" w:rsidRPr="00B72DB5" w:rsidRDefault="00B72DB5" w:rsidP="00B72DB5">
            <w:pPr>
              <w:spacing w:before="120" w:after="0"/>
            </w:pPr>
            <w:r w:rsidRPr="00B72DB5">
              <w:t>Low</w:t>
            </w:r>
          </w:p>
        </w:tc>
        <w:tc>
          <w:tcPr>
            <w:tcW w:w="0" w:type="auto"/>
            <w:vAlign w:val="center"/>
            <w:hideMark/>
          </w:tcPr>
          <w:p w14:paraId="2B9C0BEA" w14:textId="77777777" w:rsidR="00B72DB5" w:rsidRPr="00B72DB5" w:rsidRDefault="00B72DB5" w:rsidP="00B72DB5">
            <w:pPr>
              <w:spacing w:before="120" w:after="0"/>
            </w:pPr>
            <w:r w:rsidRPr="00B72DB5">
              <w:t>Yes</w:t>
            </w:r>
          </w:p>
        </w:tc>
        <w:tc>
          <w:tcPr>
            <w:tcW w:w="0" w:type="auto"/>
            <w:vAlign w:val="center"/>
            <w:hideMark/>
          </w:tcPr>
          <w:p w14:paraId="1C81DD09" w14:textId="77777777" w:rsidR="00B72DB5" w:rsidRPr="00B72DB5" w:rsidRDefault="00B72DB5" w:rsidP="00B72DB5">
            <w:pPr>
              <w:spacing w:before="120" w:after="0"/>
            </w:pPr>
            <w:r w:rsidRPr="00B72DB5">
              <w:t>4</w:t>
            </w:r>
          </w:p>
        </w:tc>
      </w:tr>
      <w:tr w:rsidR="00B72DB5" w:rsidRPr="00B72DB5" w14:paraId="51C9D15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58A1F3" w14:textId="77777777" w:rsidR="00B72DB5" w:rsidRPr="00B72DB5" w:rsidRDefault="00B72DB5" w:rsidP="00B72DB5">
            <w:pPr>
              <w:spacing w:before="120" w:after="0"/>
            </w:pPr>
            <w:r w:rsidRPr="00B72DB5">
              <w:t>Industry events &amp; vendor exposure</w:t>
            </w:r>
          </w:p>
        </w:tc>
        <w:tc>
          <w:tcPr>
            <w:tcW w:w="0" w:type="auto"/>
            <w:vAlign w:val="center"/>
            <w:hideMark/>
          </w:tcPr>
          <w:p w14:paraId="1949C22B" w14:textId="77777777" w:rsidR="00B72DB5" w:rsidRPr="00B72DB5" w:rsidRDefault="00B72DB5" w:rsidP="00B72DB5">
            <w:pPr>
              <w:spacing w:before="120" w:after="0"/>
            </w:pPr>
            <w:r w:rsidRPr="00B72DB5">
              <w:t>High</w:t>
            </w:r>
          </w:p>
        </w:tc>
        <w:tc>
          <w:tcPr>
            <w:tcW w:w="0" w:type="auto"/>
            <w:vAlign w:val="center"/>
            <w:hideMark/>
          </w:tcPr>
          <w:p w14:paraId="3DAAABC3" w14:textId="77777777" w:rsidR="00B72DB5" w:rsidRPr="00B72DB5" w:rsidRDefault="00B72DB5" w:rsidP="00B72DB5">
            <w:pPr>
              <w:spacing w:before="120" w:after="0"/>
            </w:pPr>
            <w:r w:rsidRPr="00B72DB5">
              <w:t>Low</w:t>
            </w:r>
          </w:p>
        </w:tc>
        <w:tc>
          <w:tcPr>
            <w:tcW w:w="0" w:type="auto"/>
            <w:vAlign w:val="center"/>
            <w:hideMark/>
          </w:tcPr>
          <w:p w14:paraId="578C1DE6" w14:textId="77777777" w:rsidR="00B72DB5" w:rsidRPr="00B72DB5" w:rsidRDefault="00B72DB5" w:rsidP="00B72DB5">
            <w:pPr>
              <w:spacing w:before="120" w:after="0"/>
            </w:pPr>
            <w:r w:rsidRPr="00B72DB5">
              <w:t>Yes</w:t>
            </w:r>
          </w:p>
        </w:tc>
        <w:tc>
          <w:tcPr>
            <w:tcW w:w="0" w:type="auto"/>
            <w:vAlign w:val="center"/>
            <w:hideMark/>
          </w:tcPr>
          <w:p w14:paraId="3563D407" w14:textId="77777777" w:rsidR="00B72DB5" w:rsidRPr="00B72DB5" w:rsidRDefault="00B72DB5" w:rsidP="00B72DB5">
            <w:pPr>
              <w:spacing w:before="120" w:after="0"/>
            </w:pPr>
            <w:r w:rsidRPr="00B72DB5">
              <w:t>5</w:t>
            </w:r>
          </w:p>
        </w:tc>
      </w:tr>
    </w:tbl>
    <w:p w14:paraId="46716E78" w14:textId="0738D47C" w:rsidR="00B72DB5" w:rsidRPr="00B72DB5" w:rsidRDefault="00B72DB5" w:rsidP="00B72DB5">
      <w:pPr>
        <w:spacing w:before="120" w:after="0"/>
      </w:pPr>
    </w:p>
    <w:p w14:paraId="08A7C657" w14:textId="77777777" w:rsidR="00B72DB5" w:rsidRPr="00B72DB5" w:rsidRDefault="00B72DB5" w:rsidP="00B72DB5">
      <w:pPr>
        <w:spacing w:before="120" w:after="0"/>
        <w:rPr>
          <w:b/>
          <w:bCs/>
        </w:rPr>
      </w:pPr>
      <w:r w:rsidRPr="00B72DB5">
        <w:rPr>
          <w:b/>
          <w:bCs/>
        </w:rPr>
        <w:t>C) Single-Score Ranking (Safest → Not)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9"/>
        <w:gridCol w:w="4120"/>
        <w:gridCol w:w="1529"/>
      </w:tblGrid>
      <w:tr w:rsidR="00B72DB5" w:rsidRPr="00B72DB5" w14:paraId="7ED1D839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770BBCB" w14:textId="77777777" w:rsidR="00B72DB5" w:rsidRPr="00B72DB5" w:rsidRDefault="00B72DB5" w:rsidP="00B72DB5">
            <w:pPr>
              <w:spacing w:before="120" w:after="0"/>
              <w:rPr>
                <w:b/>
                <w:bCs/>
              </w:rPr>
            </w:pPr>
            <w:r w:rsidRPr="00B72DB5">
              <w:rPr>
                <w:b/>
                <w:bCs/>
              </w:rPr>
              <w:t>Rank</w:t>
            </w:r>
          </w:p>
        </w:tc>
        <w:tc>
          <w:tcPr>
            <w:tcW w:w="0" w:type="auto"/>
            <w:vAlign w:val="center"/>
            <w:hideMark/>
          </w:tcPr>
          <w:p w14:paraId="2AE11976" w14:textId="77777777" w:rsidR="00B72DB5" w:rsidRPr="00B72DB5" w:rsidRDefault="00B72DB5" w:rsidP="00B72DB5">
            <w:pPr>
              <w:spacing w:before="120" w:after="0"/>
              <w:rPr>
                <w:b/>
                <w:bCs/>
              </w:rPr>
            </w:pPr>
            <w:r w:rsidRPr="00B72DB5">
              <w:rPr>
                <w:b/>
                <w:bCs/>
              </w:rPr>
              <w:t>Value</w:t>
            </w:r>
          </w:p>
        </w:tc>
        <w:tc>
          <w:tcPr>
            <w:tcW w:w="0" w:type="auto"/>
            <w:vAlign w:val="center"/>
            <w:hideMark/>
          </w:tcPr>
          <w:p w14:paraId="189A9EFC" w14:textId="77777777" w:rsidR="00B72DB5" w:rsidRPr="00B72DB5" w:rsidRDefault="00B72DB5" w:rsidP="00B72DB5">
            <w:pPr>
              <w:spacing w:before="120" w:after="0"/>
              <w:rPr>
                <w:b/>
                <w:bCs/>
              </w:rPr>
            </w:pPr>
            <w:r w:rsidRPr="00B72DB5">
              <w:rPr>
                <w:b/>
                <w:bCs/>
              </w:rPr>
              <w:t>Future Safety</w:t>
            </w:r>
          </w:p>
        </w:tc>
      </w:tr>
      <w:tr w:rsidR="00B72DB5" w:rsidRPr="00B72DB5" w14:paraId="01AE26C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610921" w14:textId="77777777" w:rsidR="00B72DB5" w:rsidRPr="00B72DB5" w:rsidRDefault="00B72DB5" w:rsidP="00B72DB5">
            <w:pPr>
              <w:spacing w:before="120" w:after="0"/>
            </w:pPr>
            <w:r w:rsidRPr="00B72DB5">
              <w:t>1</w:t>
            </w:r>
          </w:p>
        </w:tc>
        <w:tc>
          <w:tcPr>
            <w:tcW w:w="0" w:type="auto"/>
            <w:vAlign w:val="center"/>
            <w:hideMark/>
          </w:tcPr>
          <w:p w14:paraId="4CA80BBB" w14:textId="77777777" w:rsidR="00B72DB5" w:rsidRPr="00B72DB5" w:rsidRDefault="00B72DB5" w:rsidP="00B72DB5">
            <w:pPr>
              <w:spacing w:before="120" w:after="0"/>
            </w:pPr>
            <w:r w:rsidRPr="00B72DB5">
              <w:t>Outcome-based safety certification</w:t>
            </w:r>
          </w:p>
        </w:tc>
        <w:tc>
          <w:tcPr>
            <w:tcW w:w="0" w:type="auto"/>
            <w:vAlign w:val="center"/>
            <w:hideMark/>
          </w:tcPr>
          <w:p w14:paraId="65D6EF7B" w14:textId="77777777" w:rsidR="00B72DB5" w:rsidRPr="00B72DB5" w:rsidRDefault="00B72DB5" w:rsidP="00B72DB5">
            <w:pPr>
              <w:spacing w:before="120" w:after="0"/>
            </w:pPr>
            <w:r w:rsidRPr="00B72DB5">
              <w:t>96</w:t>
            </w:r>
          </w:p>
        </w:tc>
      </w:tr>
      <w:tr w:rsidR="00B72DB5" w:rsidRPr="00B72DB5" w14:paraId="35FC5AD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11E1F5" w14:textId="77777777" w:rsidR="00B72DB5" w:rsidRPr="00B72DB5" w:rsidRDefault="00B72DB5" w:rsidP="00B72DB5">
            <w:pPr>
              <w:spacing w:before="120" w:after="0"/>
            </w:pPr>
            <w:r w:rsidRPr="00B72DB5">
              <w:t>2</w:t>
            </w:r>
          </w:p>
        </w:tc>
        <w:tc>
          <w:tcPr>
            <w:tcW w:w="0" w:type="auto"/>
            <w:vAlign w:val="center"/>
            <w:hideMark/>
          </w:tcPr>
          <w:p w14:paraId="761622AF" w14:textId="77777777" w:rsidR="00B72DB5" w:rsidRPr="00B72DB5" w:rsidRDefault="00B72DB5" w:rsidP="00B72DB5">
            <w:pPr>
              <w:spacing w:before="120" w:after="0"/>
            </w:pPr>
            <w:r w:rsidRPr="00B72DB5">
              <w:t>Interoperability &amp; standards leadership</w:t>
            </w:r>
          </w:p>
        </w:tc>
        <w:tc>
          <w:tcPr>
            <w:tcW w:w="0" w:type="auto"/>
            <w:vAlign w:val="center"/>
            <w:hideMark/>
          </w:tcPr>
          <w:p w14:paraId="4A3D8AA3" w14:textId="77777777" w:rsidR="00B72DB5" w:rsidRPr="00B72DB5" w:rsidRDefault="00B72DB5" w:rsidP="00B72DB5">
            <w:pPr>
              <w:spacing w:before="120" w:after="0"/>
            </w:pPr>
            <w:r w:rsidRPr="00B72DB5">
              <w:t>92</w:t>
            </w:r>
          </w:p>
        </w:tc>
      </w:tr>
      <w:tr w:rsidR="00B72DB5" w:rsidRPr="00B72DB5" w14:paraId="4F0ADD0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34E855" w14:textId="77777777" w:rsidR="00B72DB5" w:rsidRPr="00B72DB5" w:rsidRDefault="00B72DB5" w:rsidP="00B72DB5">
            <w:pPr>
              <w:spacing w:before="120" w:after="0"/>
            </w:pPr>
            <w:r w:rsidRPr="00B72DB5">
              <w:t>3</w:t>
            </w:r>
          </w:p>
        </w:tc>
        <w:tc>
          <w:tcPr>
            <w:tcW w:w="0" w:type="auto"/>
            <w:vAlign w:val="center"/>
            <w:hideMark/>
          </w:tcPr>
          <w:p w14:paraId="61C1C7A3" w14:textId="77777777" w:rsidR="00B72DB5" w:rsidRPr="00B72DB5" w:rsidRDefault="00B72DB5" w:rsidP="00B72DB5">
            <w:pPr>
              <w:spacing w:before="120" w:after="0"/>
            </w:pPr>
            <w:r w:rsidRPr="00B72DB5">
              <w:t>Trust-based policy guidance</w:t>
            </w:r>
          </w:p>
        </w:tc>
        <w:tc>
          <w:tcPr>
            <w:tcW w:w="0" w:type="auto"/>
            <w:vAlign w:val="center"/>
            <w:hideMark/>
          </w:tcPr>
          <w:p w14:paraId="6214B259" w14:textId="77777777" w:rsidR="00B72DB5" w:rsidRPr="00B72DB5" w:rsidRDefault="00B72DB5" w:rsidP="00B72DB5">
            <w:pPr>
              <w:spacing w:before="120" w:after="0"/>
            </w:pPr>
            <w:r w:rsidRPr="00B72DB5">
              <w:t>84</w:t>
            </w:r>
          </w:p>
        </w:tc>
      </w:tr>
      <w:tr w:rsidR="00B72DB5" w:rsidRPr="00B72DB5" w14:paraId="7D5AF88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CDD6BD" w14:textId="77777777" w:rsidR="00B72DB5" w:rsidRPr="00B72DB5" w:rsidRDefault="00B72DB5" w:rsidP="00B72DB5">
            <w:pPr>
              <w:spacing w:before="120" w:after="0"/>
            </w:pPr>
            <w:r w:rsidRPr="00B72DB5">
              <w:t>4</w:t>
            </w:r>
          </w:p>
        </w:tc>
        <w:tc>
          <w:tcPr>
            <w:tcW w:w="0" w:type="auto"/>
            <w:vAlign w:val="center"/>
            <w:hideMark/>
          </w:tcPr>
          <w:p w14:paraId="69B40D44" w14:textId="77777777" w:rsidR="00B72DB5" w:rsidRPr="00B72DB5" w:rsidRDefault="00B72DB5" w:rsidP="00B72DB5">
            <w:pPr>
              <w:spacing w:before="120" w:after="0"/>
            </w:pPr>
            <w:r w:rsidRPr="00B72DB5">
              <w:t>Human-led audits and V2X validation</w:t>
            </w:r>
          </w:p>
        </w:tc>
        <w:tc>
          <w:tcPr>
            <w:tcW w:w="0" w:type="auto"/>
            <w:vAlign w:val="center"/>
            <w:hideMark/>
          </w:tcPr>
          <w:p w14:paraId="3B6DC63D" w14:textId="77777777" w:rsidR="00B72DB5" w:rsidRPr="00B72DB5" w:rsidRDefault="00B72DB5" w:rsidP="00B72DB5">
            <w:pPr>
              <w:spacing w:before="120" w:after="0"/>
            </w:pPr>
            <w:r w:rsidRPr="00B72DB5">
              <w:t>80</w:t>
            </w:r>
          </w:p>
        </w:tc>
      </w:tr>
      <w:tr w:rsidR="00B72DB5" w:rsidRPr="00B72DB5" w14:paraId="4DB5E33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FC9814" w14:textId="77777777" w:rsidR="00B72DB5" w:rsidRPr="00B72DB5" w:rsidRDefault="00B72DB5" w:rsidP="00B72DB5">
            <w:pPr>
              <w:spacing w:before="120" w:after="0"/>
            </w:pPr>
            <w:r w:rsidRPr="00B72DB5">
              <w:t>5</w:t>
            </w:r>
          </w:p>
        </w:tc>
        <w:tc>
          <w:tcPr>
            <w:tcW w:w="0" w:type="auto"/>
            <w:vAlign w:val="center"/>
            <w:hideMark/>
          </w:tcPr>
          <w:p w14:paraId="6662ECB0" w14:textId="77777777" w:rsidR="00B72DB5" w:rsidRPr="00B72DB5" w:rsidRDefault="00B72DB5" w:rsidP="00B72DB5">
            <w:pPr>
              <w:spacing w:before="120" w:after="0"/>
            </w:pPr>
            <w:r w:rsidRPr="00B72DB5">
              <w:t>Smart infrastructure integration toolkits</w:t>
            </w:r>
          </w:p>
        </w:tc>
        <w:tc>
          <w:tcPr>
            <w:tcW w:w="0" w:type="auto"/>
            <w:vAlign w:val="center"/>
            <w:hideMark/>
          </w:tcPr>
          <w:p w14:paraId="7C1F0954" w14:textId="77777777" w:rsidR="00B72DB5" w:rsidRPr="00B72DB5" w:rsidRDefault="00B72DB5" w:rsidP="00B72DB5">
            <w:pPr>
              <w:spacing w:before="120" w:after="0"/>
            </w:pPr>
            <w:r w:rsidRPr="00B72DB5">
              <w:t>76</w:t>
            </w:r>
          </w:p>
        </w:tc>
      </w:tr>
      <w:tr w:rsidR="00B72DB5" w:rsidRPr="00B72DB5" w14:paraId="6A54290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DA66A8" w14:textId="77777777" w:rsidR="00B72DB5" w:rsidRPr="00B72DB5" w:rsidRDefault="00B72DB5" w:rsidP="00B72DB5">
            <w:pPr>
              <w:spacing w:before="120" w:after="0"/>
            </w:pPr>
            <w:r w:rsidRPr="00B72DB5">
              <w:t>6</w:t>
            </w:r>
          </w:p>
        </w:tc>
        <w:tc>
          <w:tcPr>
            <w:tcW w:w="0" w:type="auto"/>
            <w:vAlign w:val="center"/>
            <w:hideMark/>
          </w:tcPr>
          <w:p w14:paraId="36A12548" w14:textId="77777777" w:rsidR="00B72DB5" w:rsidRPr="00B72DB5" w:rsidRDefault="00B72DB5" w:rsidP="00B72DB5">
            <w:pPr>
              <w:spacing w:before="120" w:after="0"/>
            </w:pPr>
            <w:r w:rsidRPr="00B72DB5">
              <w:t>Legislative advocacy &amp; funding support</w:t>
            </w:r>
          </w:p>
        </w:tc>
        <w:tc>
          <w:tcPr>
            <w:tcW w:w="0" w:type="auto"/>
            <w:vAlign w:val="center"/>
            <w:hideMark/>
          </w:tcPr>
          <w:p w14:paraId="5F20045C" w14:textId="77777777" w:rsidR="00B72DB5" w:rsidRPr="00B72DB5" w:rsidRDefault="00B72DB5" w:rsidP="00B72DB5">
            <w:pPr>
              <w:spacing w:before="120" w:after="0"/>
            </w:pPr>
            <w:r w:rsidRPr="00B72DB5">
              <w:t>72</w:t>
            </w:r>
          </w:p>
        </w:tc>
      </w:tr>
      <w:tr w:rsidR="00B72DB5" w:rsidRPr="00B72DB5" w14:paraId="391EA3D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B6785D" w14:textId="77777777" w:rsidR="00B72DB5" w:rsidRPr="00B72DB5" w:rsidRDefault="00B72DB5" w:rsidP="00B72DB5">
            <w:pPr>
              <w:spacing w:before="120" w:after="0"/>
            </w:pPr>
            <w:r w:rsidRPr="00B72DB5">
              <w:t>7</w:t>
            </w:r>
          </w:p>
        </w:tc>
        <w:tc>
          <w:tcPr>
            <w:tcW w:w="0" w:type="auto"/>
            <w:vAlign w:val="center"/>
            <w:hideMark/>
          </w:tcPr>
          <w:p w14:paraId="28344F91" w14:textId="77777777" w:rsidR="00B72DB5" w:rsidRPr="00B72DB5" w:rsidRDefault="00B72DB5" w:rsidP="00B72DB5">
            <w:pPr>
              <w:spacing w:before="120" w:after="0"/>
            </w:pPr>
            <w:r w:rsidRPr="00B72DB5">
              <w:t>Technical training &amp; certification</w:t>
            </w:r>
          </w:p>
        </w:tc>
        <w:tc>
          <w:tcPr>
            <w:tcW w:w="0" w:type="auto"/>
            <w:vAlign w:val="center"/>
            <w:hideMark/>
          </w:tcPr>
          <w:p w14:paraId="79DD47F6" w14:textId="77777777" w:rsidR="00B72DB5" w:rsidRPr="00B72DB5" w:rsidRDefault="00B72DB5" w:rsidP="00B72DB5">
            <w:pPr>
              <w:spacing w:before="120" w:after="0"/>
            </w:pPr>
            <w:r w:rsidRPr="00B72DB5">
              <w:t>58</w:t>
            </w:r>
          </w:p>
        </w:tc>
      </w:tr>
      <w:tr w:rsidR="00B72DB5" w:rsidRPr="00B72DB5" w14:paraId="01D9ABA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80A2DB" w14:textId="77777777" w:rsidR="00B72DB5" w:rsidRPr="00B72DB5" w:rsidRDefault="00B72DB5" w:rsidP="00B72DB5">
            <w:pPr>
              <w:spacing w:before="120" w:after="0"/>
            </w:pPr>
            <w:r w:rsidRPr="00B72DB5">
              <w:t>8</w:t>
            </w:r>
          </w:p>
        </w:tc>
        <w:tc>
          <w:tcPr>
            <w:tcW w:w="0" w:type="auto"/>
            <w:vAlign w:val="center"/>
            <w:hideMark/>
          </w:tcPr>
          <w:p w14:paraId="4CF4A265" w14:textId="77777777" w:rsidR="00B72DB5" w:rsidRPr="00B72DB5" w:rsidRDefault="00B72DB5" w:rsidP="00B72DB5">
            <w:pPr>
              <w:spacing w:before="120" w:after="0"/>
            </w:pPr>
            <w:r w:rsidRPr="00B72DB5">
              <w:t>Resource library &amp; safety guidelines</w:t>
            </w:r>
          </w:p>
        </w:tc>
        <w:tc>
          <w:tcPr>
            <w:tcW w:w="0" w:type="auto"/>
            <w:vAlign w:val="center"/>
            <w:hideMark/>
          </w:tcPr>
          <w:p w14:paraId="6006D9AD" w14:textId="77777777" w:rsidR="00B72DB5" w:rsidRPr="00B72DB5" w:rsidRDefault="00B72DB5" w:rsidP="00B72DB5">
            <w:pPr>
              <w:spacing w:before="120" w:after="0"/>
            </w:pPr>
            <w:r w:rsidRPr="00B72DB5">
              <w:t>56</w:t>
            </w:r>
          </w:p>
        </w:tc>
      </w:tr>
      <w:tr w:rsidR="00B72DB5" w:rsidRPr="00B72DB5" w14:paraId="05E5E34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9AC511" w14:textId="77777777" w:rsidR="00B72DB5" w:rsidRPr="00B72DB5" w:rsidRDefault="00B72DB5" w:rsidP="00B72DB5">
            <w:pPr>
              <w:spacing w:before="120" w:after="0"/>
            </w:pPr>
            <w:r w:rsidRPr="00B72DB5">
              <w:t>9</w:t>
            </w:r>
          </w:p>
        </w:tc>
        <w:tc>
          <w:tcPr>
            <w:tcW w:w="0" w:type="auto"/>
            <w:vAlign w:val="center"/>
            <w:hideMark/>
          </w:tcPr>
          <w:p w14:paraId="4A86D4C6" w14:textId="77777777" w:rsidR="00B72DB5" w:rsidRPr="00B72DB5" w:rsidRDefault="00B72DB5" w:rsidP="00B72DB5">
            <w:pPr>
              <w:spacing w:before="120" w:after="0"/>
            </w:pPr>
            <w:r w:rsidRPr="00B72DB5">
              <w:t>Industry events &amp; vendor exposure</w:t>
            </w:r>
          </w:p>
        </w:tc>
        <w:tc>
          <w:tcPr>
            <w:tcW w:w="0" w:type="auto"/>
            <w:vAlign w:val="center"/>
            <w:hideMark/>
          </w:tcPr>
          <w:p w14:paraId="319D983B" w14:textId="77777777" w:rsidR="00B72DB5" w:rsidRPr="00B72DB5" w:rsidRDefault="00B72DB5" w:rsidP="00B72DB5">
            <w:pPr>
              <w:spacing w:before="120" w:after="0"/>
            </w:pPr>
            <w:r w:rsidRPr="00B72DB5">
              <w:t>54</w:t>
            </w:r>
          </w:p>
        </w:tc>
      </w:tr>
    </w:tbl>
    <w:p w14:paraId="27CA4B95" w14:textId="512E1BB4" w:rsidR="00B72DB5" w:rsidRPr="00B72DB5" w:rsidRDefault="00B72DB5" w:rsidP="00A8285B">
      <w:pPr>
        <w:pStyle w:val="Heading2"/>
      </w:pPr>
      <w:r w:rsidRPr="00B72DB5">
        <w:t>Trailblazing Ideas for ATSSA</w:t>
      </w:r>
    </w:p>
    <w:p w14:paraId="16C269C0" w14:textId="4EBF3A92" w:rsidR="00B72DB5" w:rsidRPr="00B72DB5" w:rsidRDefault="00B72DB5" w:rsidP="00B72DB5">
      <w:pPr>
        <w:spacing w:before="120" w:after="0"/>
        <w:rPr>
          <w:b/>
          <w:bCs/>
        </w:rPr>
      </w:pPr>
      <w:r w:rsidRPr="00B72DB5">
        <w:rPr>
          <w:b/>
          <w:bCs/>
        </w:rPr>
        <w:t>Product/Service Bets</w:t>
      </w:r>
    </w:p>
    <w:p w14:paraId="3B5F9D54" w14:textId="77777777" w:rsidR="00B72DB5" w:rsidRPr="00B72DB5" w:rsidRDefault="00B72DB5" w:rsidP="00B72DB5">
      <w:pPr>
        <w:numPr>
          <w:ilvl w:val="0"/>
          <w:numId w:val="6"/>
        </w:numPr>
        <w:spacing w:before="120" w:after="0"/>
      </w:pPr>
      <w:r w:rsidRPr="00B72DB5">
        <w:rPr>
          <w:b/>
          <w:bCs/>
        </w:rPr>
        <w:lastRenderedPageBreak/>
        <w:t>Outcome Certification Platform</w:t>
      </w:r>
      <w:r w:rsidRPr="00B72DB5">
        <w:br/>
        <w:t>Certify not just training completion, but real-world reduction in crashes, near-misses, or incidents based on sensor data and AI interpretation.</w:t>
      </w:r>
    </w:p>
    <w:p w14:paraId="5E236A4B" w14:textId="77777777" w:rsidR="00B72DB5" w:rsidRPr="00B72DB5" w:rsidRDefault="00B72DB5" w:rsidP="00B72DB5">
      <w:pPr>
        <w:numPr>
          <w:ilvl w:val="0"/>
          <w:numId w:val="6"/>
        </w:numPr>
        <w:spacing w:before="120" w:after="0"/>
      </w:pPr>
      <w:r w:rsidRPr="00B72DB5">
        <w:rPr>
          <w:b/>
          <w:bCs/>
        </w:rPr>
        <w:t>ATSSA V2X Safety Stack™</w:t>
      </w:r>
      <w:r w:rsidRPr="00B72DB5">
        <w:br/>
        <w:t>Offer a modular certification kit and compliance checklist for manufacturers or agencies deploying connected safety devices — signal timing, signage readability, failover protocols, sensor alignment.</w:t>
      </w:r>
    </w:p>
    <w:p w14:paraId="2CE2E04D" w14:textId="53FA5CA9" w:rsidR="00B72DB5" w:rsidRPr="00B72DB5" w:rsidRDefault="00B72DB5" w:rsidP="00B72DB5">
      <w:pPr>
        <w:numPr>
          <w:ilvl w:val="0"/>
          <w:numId w:val="6"/>
        </w:numPr>
        <w:spacing w:before="120" w:after="0"/>
      </w:pPr>
      <w:r w:rsidRPr="00B72DB5">
        <w:rPr>
          <w:b/>
          <w:bCs/>
        </w:rPr>
        <w:t>Predictive Work Zone Insights</w:t>
      </w:r>
      <w:r w:rsidRPr="00B72DB5">
        <w:br/>
        <w:t>Help agencies predict work zone risk using integrated data from past crashes, vehicle sensors, and environmental factors.</w:t>
      </w:r>
    </w:p>
    <w:p w14:paraId="16C3B9A0" w14:textId="6241B973" w:rsidR="00B72DB5" w:rsidRPr="00B72DB5" w:rsidRDefault="00B72DB5" w:rsidP="00B72DB5">
      <w:pPr>
        <w:spacing w:before="120" w:after="0"/>
        <w:rPr>
          <w:b/>
          <w:bCs/>
        </w:rPr>
      </w:pPr>
      <w:r>
        <w:rPr>
          <w:b/>
          <w:bCs/>
        </w:rPr>
        <w:t>P</w:t>
      </w:r>
      <w:r w:rsidRPr="00B72DB5">
        <w:rPr>
          <w:b/>
          <w:bCs/>
        </w:rPr>
        <w:t>ricing &amp; Contracting</w:t>
      </w:r>
    </w:p>
    <w:p w14:paraId="6DB4E5D2" w14:textId="77777777" w:rsidR="00B72DB5" w:rsidRPr="00B72DB5" w:rsidRDefault="00B72DB5" w:rsidP="00B72DB5">
      <w:pPr>
        <w:numPr>
          <w:ilvl w:val="0"/>
          <w:numId w:val="7"/>
        </w:numPr>
        <w:spacing w:before="120" w:after="0"/>
      </w:pPr>
      <w:r w:rsidRPr="00B72DB5">
        <w:rPr>
          <w:b/>
          <w:bCs/>
        </w:rPr>
        <w:t>Performance-based Membership Tiers</w:t>
      </w:r>
      <w:r w:rsidRPr="00B72DB5">
        <w:br/>
        <w:t>Tie higher membership levels to demonstrable safety improvements, smart deployment certifications, or V2X integration readiness.</w:t>
      </w:r>
    </w:p>
    <w:p w14:paraId="1CDFF32A" w14:textId="746E93EF" w:rsidR="00B72DB5" w:rsidRPr="00B72DB5" w:rsidRDefault="00B72DB5" w:rsidP="00B72DB5">
      <w:pPr>
        <w:numPr>
          <w:ilvl w:val="0"/>
          <w:numId w:val="7"/>
        </w:numPr>
        <w:spacing w:before="120" w:after="0"/>
      </w:pPr>
      <w:r w:rsidRPr="00B72DB5">
        <w:rPr>
          <w:b/>
          <w:bCs/>
        </w:rPr>
        <w:t>Subscription Toolkits for Smart Integration</w:t>
      </w:r>
      <w:r w:rsidRPr="00B72DB5">
        <w:br/>
        <w:t>Ongoing access to updated compliance checklists, validation routines, and integration guidance as standards evolve.</w:t>
      </w:r>
    </w:p>
    <w:p w14:paraId="56805132" w14:textId="2421A3C1" w:rsidR="00B72DB5" w:rsidRPr="00B72DB5" w:rsidRDefault="00B72DB5" w:rsidP="00B72DB5">
      <w:pPr>
        <w:spacing w:before="120" w:after="0"/>
        <w:rPr>
          <w:b/>
          <w:bCs/>
        </w:rPr>
      </w:pPr>
      <w:r w:rsidRPr="00B72DB5">
        <w:rPr>
          <w:b/>
          <w:bCs/>
        </w:rPr>
        <w:t>Data &amp; Partnerships</w:t>
      </w:r>
    </w:p>
    <w:p w14:paraId="13B7DB2F" w14:textId="77777777" w:rsidR="00B72DB5" w:rsidRPr="00B72DB5" w:rsidRDefault="00B72DB5" w:rsidP="00B72DB5">
      <w:pPr>
        <w:numPr>
          <w:ilvl w:val="0"/>
          <w:numId w:val="8"/>
        </w:numPr>
        <w:spacing w:before="120" w:after="0"/>
      </w:pPr>
      <w:r w:rsidRPr="00B72DB5">
        <w:rPr>
          <w:b/>
          <w:bCs/>
        </w:rPr>
        <w:t>Form a National V2X Readiness Index</w:t>
      </w:r>
      <w:r w:rsidRPr="00B72DB5">
        <w:br/>
        <w:t>Partner with DOTs, auto OEMs, and sensor providers to benchmark roadway readiness for vehicle-to-infrastructure integration.</w:t>
      </w:r>
    </w:p>
    <w:p w14:paraId="0F6062C2" w14:textId="77777777" w:rsidR="00B72DB5" w:rsidRPr="00B72DB5" w:rsidRDefault="00B72DB5" w:rsidP="00B72DB5">
      <w:pPr>
        <w:numPr>
          <w:ilvl w:val="0"/>
          <w:numId w:val="8"/>
        </w:numPr>
        <w:spacing w:before="120" w:after="0"/>
      </w:pPr>
      <w:r w:rsidRPr="00B72DB5">
        <w:rPr>
          <w:b/>
          <w:bCs/>
        </w:rPr>
        <w:t>Crash/Near-Miss Data Consortium</w:t>
      </w:r>
      <w:r w:rsidRPr="00B72DB5">
        <w:br/>
        <w:t>Aggregate anonymized data from members to build predictive risk models — offer dashboards or insights as a paid service.</w:t>
      </w:r>
    </w:p>
    <w:p w14:paraId="06BC98A4" w14:textId="7A0634B8" w:rsidR="00B72DB5" w:rsidRPr="00B72DB5" w:rsidRDefault="00B72DB5" w:rsidP="00B72DB5">
      <w:pPr>
        <w:spacing w:before="120" w:after="0"/>
        <w:rPr>
          <w:b/>
          <w:bCs/>
        </w:rPr>
      </w:pPr>
      <w:r w:rsidRPr="00B72DB5">
        <w:rPr>
          <w:b/>
          <w:bCs/>
        </w:rPr>
        <w:t>Go-to-Market Plays</w:t>
      </w:r>
    </w:p>
    <w:p w14:paraId="0C3890BE" w14:textId="77777777" w:rsidR="00B72DB5" w:rsidRPr="00B72DB5" w:rsidRDefault="00B72DB5" w:rsidP="00B72DB5">
      <w:pPr>
        <w:numPr>
          <w:ilvl w:val="0"/>
          <w:numId w:val="9"/>
        </w:numPr>
        <w:spacing w:before="120" w:after="0"/>
      </w:pPr>
      <w:r w:rsidRPr="00B72DB5">
        <w:rPr>
          <w:b/>
          <w:bCs/>
        </w:rPr>
        <w:t>“Smart Safety Certified” Pilot Program</w:t>
      </w:r>
      <w:r w:rsidRPr="00B72DB5">
        <w:br/>
        <w:t>Launch with 3–5 DOTs and manufacturers to validate what V2X safety deployment should look like — award a badge or certification.</w:t>
      </w:r>
    </w:p>
    <w:p w14:paraId="71156F3C" w14:textId="77777777" w:rsidR="00B72DB5" w:rsidRPr="00B72DB5" w:rsidRDefault="00B72DB5" w:rsidP="00B72DB5">
      <w:pPr>
        <w:numPr>
          <w:ilvl w:val="0"/>
          <w:numId w:val="9"/>
        </w:numPr>
        <w:spacing w:before="120" w:after="0"/>
      </w:pPr>
      <w:r w:rsidRPr="00B72DB5">
        <w:rPr>
          <w:b/>
          <w:bCs/>
        </w:rPr>
        <w:t>ATSSA Smart Infrastructure Leadership Academy</w:t>
      </w:r>
      <w:r w:rsidRPr="00B72DB5">
        <w:br/>
        <w:t>Equip contractors, engineers, and public officials to lead smart deployments — blending policy, tech, and field realities.</w:t>
      </w:r>
    </w:p>
    <w:p w14:paraId="7E3CCF2C" w14:textId="07F17D3F" w:rsidR="00A842C5" w:rsidRDefault="00B72DB5" w:rsidP="00B72DB5">
      <w:pPr>
        <w:numPr>
          <w:ilvl w:val="0"/>
          <w:numId w:val="9"/>
        </w:numPr>
        <w:spacing w:before="120" w:after="0"/>
      </w:pPr>
      <w:proofErr w:type="spellStart"/>
      <w:r w:rsidRPr="00B72DB5">
        <w:rPr>
          <w:b/>
          <w:bCs/>
        </w:rPr>
        <w:t>Crashless</w:t>
      </w:r>
      <w:proofErr w:type="spellEnd"/>
      <w:r w:rsidRPr="00B72DB5">
        <w:rPr>
          <w:b/>
          <w:bCs/>
        </w:rPr>
        <w:t xml:space="preserve"> Corridor Campaign</w:t>
      </w:r>
      <w:r w:rsidRPr="00B72DB5">
        <w:br/>
        <w:t>Choose a corridor or metro to prove that near-zero incidents are possible with integrated smart safety — publicize metrics.</w:t>
      </w:r>
    </w:p>
    <w:p w14:paraId="3B5D64E8" w14:textId="616D95E0" w:rsidR="00533D03" w:rsidRDefault="00533D03" w:rsidP="00533D03">
      <w:pPr>
        <w:pStyle w:val="Heading2"/>
      </w:pPr>
      <w:r>
        <w:lastRenderedPageBreak/>
        <w:t xml:space="preserve">Trent’s </w:t>
      </w:r>
      <w:r w:rsidR="00C354E8">
        <w:t xml:space="preserve">Suggested </w:t>
      </w:r>
      <w:r>
        <w:t>Trends and Opportunities to Watch</w:t>
      </w:r>
    </w:p>
    <w:p w14:paraId="47A25EC6" w14:textId="6BD97A59" w:rsidR="00495A21" w:rsidRPr="00495A21" w:rsidRDefault="00495A21" w:rsidP="00495A21">
      <w:r w:rsidRPr="00495A21">
        <w:rPr>
          <w:b/>
          <w:bCs/>
        </w:rPr>
        <w:t>Trend</w:t>
      </w:r>
      <w:r>
        <w:rPr>
          <w:b/>
          <w:bCs/>
        </w:rPr>
        <w:t xml:space="preserve"> 1</w:t>
      </w:r>
      <w:r w:rsidRPr="00495A21">
        <w:rPr>
          <w:b/>
          <w:bCs/>
        </w:rPr>
        <w:t xml:space="preserve">: </w:t>
      </w:r>
      <w:r w:rsidRPr="00495A21">
        <w:t xml:space="preserve">Sensors will be </w:t>
      </w:r>
      <w:proofErr w:type="spellStart"/>
      <w:r w:rsidRPr="00495A21">
        <w:t>every where</w:t>
      </w:r>
      <w:proofErr w:type="spellEnd"/>
      <w:r w:rsidRPr="00495A21">
        <w:t xml:space="preserve"> and everything will be measured. Vehicle to Everything (V2X), Roadways, etc.</w:t>
      </w:r>
    </w:p>
    <w:p w14:paraId="3B1AA9F9" w14:textId="77777777" w:rsidR="00495A21" w:rsidRPr="00495A21" w:rsidRDefault="00495A21" w:rsidP="00495A21">
      <w:pPr>
        <w:rPr>
          <w:b/>
          <w:bCs/>
        </w:rPr>
      </w:pPr>
      <w:r w:rsidRPr="00495A21">
        <w:rPr>
          <w:b/>
          <w:bCs/>
        </w:rPr>
        <w:t>Opportunities:</w:t>
      </w:r>
    </w:p>
    <w:p w14:paraId="08F77959" w14:textId="77777777" w:rsidR="00495A21" w:rsidRPr="00495A21" w:rsidRDefault="00495A21" w:rsidP="00495A21">
      <w:pPr>
        <w:numPr>
          <w:ilvl w:val="0"/>
          <w:numId w:val="11"/>
        </w:numPr>
      </w:pPr>
      <w:r w:rsidRPr="00495A21">
        <w:t>Measurement of integrated systems across multiple vendors, e.g., full roadways. Supports moving to prediction of safety incidents with different products.</w:t>
      </w:r>
    </w:p>
    <w:p w14:paraId="18F6EE2D" w14:textId="77777777" w:rsidR="00495A21" w:rsidRPr="00495A21" w:rsidRDefault="00495A21" w:rsidP="00495A21">
      <w:pPr>
        <w:numPr>
          <w:ilvl w:val="0"/>
          <w:numId w:val="11"/>
        </w:numPr>
      </w:pPr>
      <w:proofErr w:type="gramStart"/>
      <w:r w:rsidRPr="00495A21">
        <w:t>Independent provisioning of crash and near-miss data,</w:t>
      </w:r>
      <w:proofErr w:type="gramEnd"/>
      <w:r w:rsidRPr="00495A21">
        <w:t xml:space="preserve"> anonymized across vendors.</w:t>
      </w:r>
    </w:p>
    <w:p w14:paraId="541BF995" w14:textId="77777777" w:rsidR="00495A21" w:rsidRPr="00495A21" w:rsidRDefault="00495A21" w:rsidP="00495A21">
      <w:pPr>
        <w:numPr>
          <w:ilvl w:val="0"/>
          <w:numId w:val="11"/>
        </w:numPr>
      </w:pPr>
      <w:r w:rsidRPr="00495A21">
        <w:t>Prediction of best investments to increase safety.</w:t>
      </w:r>
    </w:p>
    <w:p w14:paraId="75B80E3E" w14:textId="35AA6F5E" w:rsidR="00C354E8" w:rsidRPr="00C354E8" w:rsidRDefault="00C354E8" w:rsidP="00C354E8">
      <w:r w:rsidRPr="00C354E8">
        <w:rPr>
          <w:b/>
          <w:bCs/>
        </w:rPr>
        <w:t>Trend</w:t>
      </w:r>
      <w:r>
        <w:rPr>
          <w:b/>
          <w:bCs/>
        </w:rPr>
        <w:t xml:space="preserve"> 2</w:t>
      </w:r>
      <w:r w:rsidRPr="00C354E8">
        <w:rPr>
          <w:b/>
          <w:bCs/>
        </w:rPr>
        <w:t xml:space="preserve">: </w:t>
      </w:r>
      <w:r w:rsidRPr="00C354E8">
        <w:t>AI is reducing R&amp;D cost and timelines dramatically, increasing number of products and pace of change.</w:t>
      </w:r>
    </w:p>
    <w:p w14:paraId="31074EE5" w14:textId="77777777" w:rsidR="00C354E8" w:rsidRPr="00C354E8" w:rsidRDefault="00C354E8" w:rsidP="00C354E8">
      <w:r w:rsidRPr="00C354E8">
        <w:rPr>
          <w:b/>
          <w:bCs/>
        </w:rPr>
        <w:t>Opportunities</w:t>
      </w:r>
      <w:r w:rsidRPr="00C354E8">
        <w:t>:</w:t>
      </w:r>
    </w:p>
    <w:p w14:paraId="006A701A" w14:textId="77777777" w:rsidR="00C354E8" w:rsidRPr="00C354E8" w:rsidRDefault="00C354E8" w:rsidP="00C354E8">
      <w:pPr>
        <w:numPr>
          <w:ilvl w:val="0"/>
          <w:numId w:val="12"/>
        </w:numPr>
      </w:pPr>
      <w:r w:rsidRPr="00C354E8">
        <w:t xml:space="preserve">Product certification and product registry (especially AI-enabled products). </w:t>
      </w:r>
    </w:p>
    <w:p w14:paraId="40900464" w14:textId="245A32DC" w:rsidR="00C354E8" w:rsidRPr="00C354E8" w:rsidRDefault="00C354E8" w:rsidP="00495A21">
      <w:pPr>
        <w:numPr>
          <w:ilvl w:val="0"/>
          <w:numId w:val="12"/>
        </w:numPr>
      </w:pPr>
      <w:r w:rsidRPr="00C354E8">
        <w:t>Streamlining long approval processes by creating alternate, industry-created testing methods and self-governance, backed by quantifiable data.</w:t>
      </w:r>
    </w:p>
    <w:p w14:paraId="7AC54032" w14:textId="3C0B8C24" w:rsidR="00495A21" w:rsidRPr="00495A21" w:rsidRDefault="00495A21" w:rsidP="00495A21">
      <w:r w:rsidRPr="00495A21">
        <w:rPr>
          <w:b/>
          <w:bCs/>
        </w:rPr>
        <w:t>Trend</w:t>
      </w:r>
      <w:r>
        <w:rPr>
          <w:b/>
          <w:bCs/>
        </w:rPr>
        <w:t xml:space="preserve"> </w:t>
      </w:r>
      <w:r w:rsidR="00C354E8">
        <w:rPr>
          <w:b/>
          <w:bCs/>
        </w:rPr>
        <w:t>3</w:t>
      </w:r>
      <w:r w:rsidRPr="00495A21">
        <w:t>: Training content creation is simple, low-cost, personalized, and available broadly.</w:t>
      </w:r>
    </w:p>
    <w:p w14:paraId="7C3CBC57" w14:textId="77777777" w:rsidR="00495A21" w:rsidRPr="00495A21" w:rsidRDefault="00495A21" w:rsidP="00495A21">
      <w:r w:rsidRPr="00495A21">
        <w:rPr>
          <w:b/>
          <w:bCs/>
        </w:rPr>
        <w:t>Opportunities:</w:t>
      </w:r>
    </w:p>
    <w:p w14:paraId="41125150" w14:textId="77777777" w:rsidR="00495A21" w:rsidRPr="00495A21" w:rsidRDefault="00495A21" w:rsidP="00495A21">
      <w:pPr>
        <w:numPr>
          <w:ilvl w:val="0"/>
          <w:numId w:val="10"/>
        </w:numPr>
      </w:pPr>
      <w:r w:rsidRPr="00495A21">
        <w:t>Cost reduction in training content creation: more, high-quality training with measurable impact.</w:t>
      </w:r>
    </w:p>
    <w:p w14:paraId="76C63FB4" w14:textId="77777777" w:rsidR="00495A21" w:rsidRPr="00495A21" w:rsidRDefault="00495A21" w:rsidP="00495A21">
      <w:pPr>
        <w:numPr>
          <w:ilvl w:val="0"/>
          <w:numId w:val="10"/>
        </w:numPr>
      </w:pPr>
      <w:r w:rsidRPr="00495A21">
        <w:t>Real-Person certification becomes increasingly important to enhance trust.</w:t>
      </w:r>
    </w:p>
    <w:p w14:paraId="2E86CDD5" w14:textId="77777777" w:rsidR="00495A21" w:rsidRPr="00495A21" w:rsidRDefault="00495A21" w:rsidP="00495A21">
      <w:pPr>
        <w:numPr>
          <w:ilvl w:val="0"/>
          <w:numId w:val="10"/>
        </w:numPr>
      </w:pPr>
      <w:r w:rsidRPr="00495A21">
        <w:t xml:space="preserve">New certifications: building integrated systems, auditing and certifying designs. </w:t>
      </w:r>
    </w:p>
    <w:p w14:paraId="4F060535" w14:textId="77777777" w:rsidR="00533D03" w:rsidRPr="00533D03" w:rsidRDefault="00533D03" w:rsidP="00533D03"/>
    <w:sectPr w:rsidR="00533D03" w:rsidRPr="00533D03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F8717" w14:textId="77777777" w:rsidR="00495629" w:rsidRDefault="00495629" w:rsidP="00B72DB5">
      <w:pPr>
        <w:spacing w:after="0" w:line="240" w:lineRule="auto"/>
      </w:pPr>
      <w:r>
        <w:separator/>
      </w:r>
    </w:p>
  </w:endnote>
  <w:endnote w:type="continuationSeparator" w:id="0">
    <w:p w14:paraId="417778BF" w14:textId="77777777" w:rsidR="00495629" w:rsidRDefault="00495629" w:rsidP="00B72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3FEF2" w14:textId="4C8B30A9" w:rsidR="00B72DB5" w:rsidRDefault="00B72DB5">
    <w:pPr>
      <w:pStyle w:val="Footer"/>
    </w:pPr>
    <w:r>
      <w:t>© Copyright 2025 Stellis AI, LLC</w:t>
    </w:r>
    <w:r>
      <w:tab/>
    </w:r>
    <w:r w:rsidR="00685479">
      <w:t>Confidential</w:t>
    </w:r>
    <w:r w:rsidR="00685479">
      <w:tab/>
    </w:r>
    <w:r w:rsidR="00685479">
      <w:fldChar w:fldCharType="begin"/>
    </w:r>
    <w:r w:rsidR="00685479">
      <w:instrText xml:space="preserve"> PAGE   \* MERGEFORMAT </w:instrText>
    </w:r>
    <w:r w:rsidR="00685479">
      <w:fldChar w:fldCharType="separate"/>
    </w:r>
    <w:r w:rsidR="00685479">
      <w:rPr>
        <w:noProof/>
      </w:rPr>
      <w:t>1</w:t>
    </w:r>
    <w:r w:rsidR="00685479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5344C" w14:textId="77777777" w:rsidR="00495629" w:rsidRDefault="00495629" w:rsidP="00B72DB5">
      <w:pPr>
        <w:spacing w:after="0" w:line="240" w:lineRule="auto"/>
      </w:pPr>
      <w:r>
        <w:separator/>
      </w:r>
    </w:p>
  </w:footnote>
  <w:footnote w:type="continuationSeparator" w:id="0">
    <w:p w14:paraId="7B8082B0" w14:textId="77777777" w:rsidR="00495629" w:rsidRDefault="00495629" w:rsidP="00B72D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52B36"/>
    <w:multiLevelType w:val="hybridMultilevel"/>
    <w:tmpl w:val="EE2A759E"/>
    <w:lvl w:ilvl="0" w:tplc="AC90BD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929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0673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6AE2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F87D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A2C1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D24B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94CF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B677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24C7521"/>
    <w:multiLevelType w:val="multilevel"/>
    <w:tmpl w:val="7D9C4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82128D"/>
    <w:multiLevelType w:val="multilevel"/>
    <w:tmpl w:val="9F620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444862"/>
    <w:multiLevelType w:val="multilevel"/>
    <w:tmpl w:val="33082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000289"/>
    <w:multiLevelType w:val="multilevel"/>
    <w:tmpl w:val="CCFEE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507659"/>
    <w:multiLevelType w:val="hybridMultilevel"/>
    <w:tmpl w:val="228249B0"/>
    <w:lvl w:ilvl="0" w:tplc="417E09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5C0D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C2689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3405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8624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AEC9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0A88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B433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38FC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9045C53"/>
    <w:multiLevelType w:val="hybridMultilevel"/>
    <w:tmpl w:val="49942F08"/>
    <w:lvl w:ilvl="0" w:tplc="AF56F2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C4AE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D410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D450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BE6D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AA46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D2C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3C81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14A8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4EC47209"/>
    <w:multiLevelType w:val="multilevel"/>
    <w:tmpl w:val="180E3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8E2414"/>
    <w:multiLevelType w:val="multilevel"/>
    <w:tmpl w:val="A664D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3640BA"/>
    <w:multiLevelType w:val="multilevel"/>
    <w:tmpl w:val="D158A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FC4524"/>
    <w:multiLevelType w:val="multilevel"/>
    <w:tmpl w:val="97065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7E3FDE"/>
    <w:multiLevelType w:val="multilevel"/>
    <w:tmpl w:val="D83C1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6361964">
    <w:abstractNumId w:val="1"/>
  </w:num>
  <w:num w:numId="2" w16cid:durableId="1337032623">
    <w:abstractNumId w:val="11"/>
  </w:num>
  <w:num w:numId="3" w16cid:durableId="877472515">
    <w:abstractNumId w:val="4"/>
  </w:num>
  <w:num w:numId="4" w16cid:durableId="1402750587">
    <w:abstractNumId w:val="9"/>
  </w:num>
  <w:num w:numId="5" w16cid:durableId="1312557047">
    <w:abstractNumId w:val="3"/>
  </w:num>
  <w:num w:numId="6" w16cid:durableId="1116557559">
    <w:abstractNumId w:val="2"/>
  </w:num>
  <w:num w:numId="7" w16cid:durableId="11034895">
    <w:abstractNumId w:val="10"/>
  </w:num>
  <w:num w:numId="8" w16cid:durableId="1639918870">
    <w:abstractNumId w:val="8"/>
  </w:num>
  <w:num w:numId="9" w16cid:durableId="2026052871">
    <w:abstractNumId w:val="7"/>
  </w:num>
  <w:num w:numId="10" w16cid:durableId="32393467">
    <w:abstractNumId w:val="5"/>
  </w:num>
  <w:num w:numId="11" w16cid:durableId="1344552234">
    <w:abstractNumId w:val="0"/>
  </w:num>
  <w:num w:numId="12" w16cid:durableId="1743452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DB5"/>
    <w:rsid w:val="0019631C"/>
    <w:rsid w:val="00353A86"/>
    <w:rsid w:val="00495629"/>
    <w:rsid w:val="00495A21"/>
    <w:rsid w:val="00533D03"/>
    <w:rsid w:val="005E30F0"/>
    <w:rsid w:val="00685479"/>
    <w:rsid w:val="007A0BD8"/>
    <w:rsid w:val="00A8285B"/>
    <w:rsid w:val="00A842C5"/>
    <w:rsid w:val="00B170BB"/>
    <w:rsid w:val="00B72DB5"/>
    <w:rsid w:val="00B93994"/>
    <w:rsid w:val="00C354E8"/>
    <w:rsid w:val="00CE0EAC"/>
    <w:rsid w:val="00E2554B"/>
    <w:rsid w:val="00F13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07EA8"/>
  <w15:chartTrackingRefBased/>
  <w15:docId w15:val="{0E320C4F-C55E-473A-9B84-6EFF23805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2D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2D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2D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2D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2D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2D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2D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2D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2D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2D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72D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2D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2D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2D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2D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2D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2D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2D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2D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2D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2D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2D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2D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2D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2D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2D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2D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2D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2DB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72D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2DB5"/>
  </w:style>
  <w:style w:type="paragraph" w:styleId="Footer">
    <w:name w:val="footer"/>
    <w:basedOn w:val="Normal"/>
    <w:link w:val="FooterChar"/>
    <w:uiPriority w:val="99"/>
    <w:unhideWhenUsed/>
    <w:rsid w:val="00B72D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2D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1067</Words>
  <Characters>6534</Characters>
  <Application>Microsoft Office Word</Application>
  <DocSecurity>0</DocSecurity>
  <Lines>311</Lines>
  <Paragraphs>271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Trent Gillespie</dc:creator>
  <cp:keywords/>
  <dc:description/>
  <cp:lastModifiedBy>Trent Gillespie</cp:lastModifiedBy>
  <cp:revision>7</cp:revision>
  <dcterms:created xsi:type="dcterms:W3CDTF">2025-11-03T23:57:00Z</dcterms:created>
  <dcterms:modified xsi:type="dcterms:W3CDTF">2025-11-06T14:44:00Z</dcterms:modified>
</cp:coreProperties>
</file>