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81CB" w14:textId="7D71F3A6" w:rsidR="00075A83" w:rsidRDefault="003A4FE9" w:rsidP="003A4FE9">
      <w:pPr>
        <w:jc w:val="center"/>
        <w:rPr>
          <w:sz w:val="40"/>
          <w:szCs w:val="40"/>
          <w:lang w:val="en-GB"/>
        </w:rPr>
      </w:pPr>
      <w:r w:rsidRPr="003A4FE9">
        <w:rPr>
          <w:sz w:val="40"/>
          <w:szCs w:val="40"/>
          <w:lang w:val="en-GB"/>
        </w:rPr>
        <w:t>Circular Economy: Resource efficient energy and materials for reduced carbon footprint</w:t>
      </w:r>
    </w:p>
    <w:p w14:paraId="222ACDE8" w14:textId="77777777" w:rsidR="003A4FE9" w:rsidRDefault="003A4FE9" w:rsidP="003A4FE9">
      <w:pPr>
        <w:jc w:val="center"/>
        <w:rPr>
          <w:sz w:val="40"/>
          <w:szCs w:val="40"/>
          <w:lang w:val="en-GB"/>
        </w:rPr>
      </w:pPr>
    </w:p>
    <w:p w14:paraId="67597065" w14:textId="2827DCB6" w:rsidR="003A4FE9" w:rsidRDefault="003A4FE9" w:rsidP="003A4FE9">
      <w:pPr>
        <w:jc w:val="center"/>
        <w:rPr>
          <w:b/>
          <w:bCs/>
          <w:sz w:val="32"/>
          <w:szCs w:val="32"/>
          <w:u w:val="single"/>
          <w:lang w:val="en-GB"/>
        </w:rPr>
      </w:pPr>
      <w:r w:rsidRPr="003A4FE9">
        <w:rPr>
          <w:b/>
          <w:bCs/>
          <w:sz w:val="32"/>
          <w:szCs w:val="32"/>
          <w:u w:val="single"/>
          <w:lang w:val="en-GB"/>
        </w:rPr>
        <w:t>Academic resources</w:t>
      </w:r>
    </w:p>
    <w:p w14:paraId="26F0BC94" w14:textId="77777777" w:rsidR="003A4FE9" w:rsidRDefault="003A4FE9" w:rsidP="003A4FE9">
      <w:pPr>
        <w:jc w:val="center"/>
        <w:rPr>
          <w:b/>
          <w:bCs/>
          <w:sz w:val="32"/>
          <w:szCs w:val="32"/>
          <w:u w:val="single"/>
          <w:lang w:val="en-GB"/>
        </w:rPr>
      </w:pPr>
    </w:p>
    <w:p w14:paraId="38BD7541" w14:textId="6C0123E8" w:rsidR="003A4FE9" w:rsidRDefault="003A4FE9" w:rsidP="003A4FE9">
      <w:pPr>
        <w:pStyle w:val="ListParagraph"/>
        <w:numPr>
          <w:ilvl w:val="0"/>
          <w:numId w:val="1"/>
        </w:numPr>
        <w:rPr>
          <w:lang w:val="en-GB"/>
        </w:rPr>
      </w:pPr>
      <w:hyperlink r:id="rId5" w:history="1">
        <w:r w:rsidRPr="003A4FE9">
          <w:rPr>
            <w:rStyle w:val="Hyperlink"/>
            <w:lang w:val="en-GB"/>
          </w:rPr>
          <w:t>From circular strategies to actions: 65 European circular building cases and their decarbonisation potential</w:t>
        </w:r>
      </w:hyperlink>
    </w:p>
    <w:p w14:paraId="4FB53F2D" w14:textId="45688E99" w:rsidR="003A4FE9" w:rsidRDefault="003A4FE9" w:rsidP="003A4FE9">
      <w:pPr>
        <w:pStyle w:val="ListParagraph"/>
        <w:numPr>
          <w:ilvl w:val="0"/>
          <w:numId w:val="1"/>
        </w:numPr>
        <w:rPr>
          <w:lang w:val="en-GB"/>
        </w:rPr>
      </w:pPr>
      <w:hyperlink r:id="rId6" w:history="1">
        <w:r w:rsidRPr="003A4FE9">
          <w:rPr>
            <w:rStyle w:val="Hyperlink"/>
            <w:lang w:val="en-GB"/>
          </w:rPr>
          <w:t>The underrepresented key elements of Circular Economy: A critical review of assessment tools and a guide for action</w:t>
        </w:r>
      </w:hyperlink>
    </w:p>
    <w:p w14:paraId="6A1D9830" w14:textId="08FCC1FA" w:rsidR="003A4FE9" w:rsidRDefault="003A4FE9" w:rsidP="003A4FE9">
      <w:pPr>
        <w:pStyle w:val="ListParagraph"/>
        <w:numPr>
          <w:ilvl w:val="0"/>
          <w:numId w:val="1"/>
        </w:numPr>
        <w:rPr>
          <w:lang w:val="en-GB"/>
        </w:rPr>
      </w:pPr>
      <w:hyperlink r:id="rId7" w:history="1">
        <w:r w:rsidRPr="003A4FE9">
          <w:rPr>
            <w:rStyle w:val="Hyperlink"/>
            <w:lang w:val="en-GB"/>
          </w:rPr>
          <w:t>Regenerative businesses' role in industrial symbiosis realisation</w:t>
        </w:r>
      </w:hyperlink>
    </w:p>
    <w:p w14:paraId="19A89BD0" w14:textId="36D7B8BE" w:rsidR="003A4FE9" w:rsidRDefault="003A4FE9" w:rsidP="003A4FE9">
      <w:pPr>
        <w:pStyle w:val="ListParagraph"/>
        <w:numPr>
          <w:ilvl w:val="0"/>
          <w:numId w:val="1"/>
        </w:numPr>
        <w:rPr>
          <w:lang w:val="en-GB"/>
        </w:rPr>
      </w:pPr>
      <w:hyperlink r:id="rId8" w:history="1">
        <w:r w:rsidRPr="003A4FE9">
          <w:rPr>
            <w:rStyle w:val="Hyperlink"/>
            <w:lang w:val="en-GB"/>
          </w:rPr>
          <w:t>Comparing technical disassembly potential methods for concrete and timber buildings</w:t>
        </w:r>
      </w:hyperlink>
    </w:p>
    <w:p w14:paraId="32DF7120" w14:textId="6C18933D" w:rsidR="003A4FE9" w:rsidRDefault="003A4FE9" w:rsidP="003A4FE9">
      <w:pPr>
        <w:pStyle w:val="ListParagraph"/>
        <w:numPr>
          <w:ilvl w:val="0"/>
          <w:numId w:val="1"/>
        </w:numPr>
        <w:rPr>
          <w:lang w:val="en-GB"/>
        </w:rPr>
      </w:pPr>
      <w:hyperlink r:id="rId9" w:history="1">
        <w:r w:rsidRPr="003A4FE9">
          <w:rPr>
            <w:rStyle w:val="Hyperlink"/>
            <w:lang w:val="en-GB"/>
          </w:rPr>
          <w:t>How circular is current design practice? Investigating perspectives across industrial design and architecture in the transition towards a circular economy</w:t>
        </w:r>
      </w:hyperlink>
    </w:p>
    <w:p w14:paraId="69F49BB0" w14:textId="2A77842B" w:rsidR="003A4FE9" w:rsidRPr="003A4FE9" w:rsidRDefault="003A4FE9" w:rsidP="003A4FE9">
      <w:pPr>
        <w:pStyle w:val="ListParagraph"/>
        <w:numPr>
          <w:ilvl w:val="0"/>
          <w:numId w:val="1"/>
        </w:numPr>
        <w:rPr>
          <w:lang w:val="en-GB"/>
        </w:rPr>
      </w:pPr>
      <w:hyperlink r:id="rId10" w:history="1">
        <w:r w:rsidRPr="003A4FE9">
          <w:rPr>
            <w:rStyle w:val="Hyperlink"/>
            <w:lang w:val="en-GB"/>
          </w:rPr>
          <w:t>Circularity at Nano Level: A Product/Service Perspective</w:t>
        </w:r>
      </w:hyperlink>
    </w:p>
    <w:sectPr w:rsidR="003A4FE9" w:rsidRPr="003A4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D1D50"/>
    <w:multiLevelType w:val="hybridMultilevel"/>
    <w:tmpl w:val="661EF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8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E9"/>
    <w:rsid w:val="00075A83"/>
    <w:rsid w:val="002B0CFD"/>
    <w:rsid w:val="003A4FE9"/>
    <w:rsid w:val="006F39E6"/>
    <w:rsid w:val="00CD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519B5E"/>
  <w15:chartTrackingRefBased/>
  <w15:docId w15:val="{1FCD99B9-2E2F-4A46-A279-1E4ABCA8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F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F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F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F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F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F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F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F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4F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-buildingscities.org/articles/10.5334/bc.7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library.wiley.com/doi/10.1002/sd.324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science/article/pii/S2352550922003153?via%3Dihu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ciencedirect.com/science/article/pii/S2667378923000020?via%3Dihub" TargetMode="External"/><Relationship Id="rId10" Type="http://schemas.openxmlformats.org/officeDocument/2006/relationships/hyperlink" Target="https://link.springer.com/chapter/10.1007/978-981-19-9700-6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pii/S2352550920314317?via%3Dih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Bairampa</dc:creator>
  <cp:keywords/>
  <dc:description/>
  <cp:lastModifiedBy>Evdokia Bairampa</cp:lastModifiedBy>
  <cp:revision>1</cp:revision>
  <dcterms:created xsi:type="dcterms:W3CDTF">2026-08-24T08:03:00Z</dcterms:created>
  <dcterms:modified xsi:type="dcterms:W3CDTF">2026-08-24T08:19:00Z</dcterms:modified>
</cp:coreProperties>
</file>