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BF94" w14:textId="7F153158" w:rsidR="00311F74" w:rsidRPr="00311F74" w:rsidRDefault="00311F74" w:rsidP="00311F74">
      <w:pPr>
        <w:rPr>
          <w:rFonts w:ascii="Calibri" w:hAnsi="Calibri" w:cs="Calibri"/>
          <w:b/>
          <w:bCs/>
          <w:sz w:val="40"/>
          <w:szCs w:val="40"/>
        </w:rPr>
      </w:pPr>
      <w:r w:rsidRPr="00311F74">
        <w:rPr>
          <w:rFonts w:ascii="Calibri" w:hAnsi="Calibri" w:cs="Calibri"/>
          <w:b/>
          <w:bCs/>
          <w:sz w:val="40"/>
          <w:szCs w:val="40"/>
        </w:rPr>
        <w:t>Introduction to Module 1</w:t>
      </w:r>
    </w:p>
    <w:p w14:paraId="663894CE" w14:textId="767F0D09" w:rsidR="00311F74" w:rsidRDefault="00311F74" w:rsidP="00311F74">
      <w:pPr>
        <w:spacing w:after="0"/>
        <w:jc w:val="center"/>
        <w:rPr>
          <w:rFonts w:ascii="Calibri" w:hAnsi="Calibri" w:cs="Calibri"/>
          <w:b/>
          <w:bCs/>
          <w:sz w:val="32"/>
          <w:szCs w:val="32"/>
        </w:rPr>
      </w:pPr>
      <w:r w:rsidRPr="00311F74">
        <w:rPr>
          <w:rFonts w:ascii="Calibri" w:hAnsi="Calibri" w:cs="Calibri"/>
          <w:b/>
          <w:bCs/>
          <w:sz w:val="32"/>
          <w:szCs w:val="32"/>
        </w:rPr>
        <w:t>Climate Resilience – Adapting Buildings to Climate Change</w:t>
      </w:r>
    </w:p>
    <w:p w14:paraId="20A60F54" w14:textId="6EF88E4C" w:rsidR="00311F74" w:rsidRPr="00311F74" w:rsidRDefault="00311F74" w:rsidP="00311F74">
      <w:pPr>
        <w:jc w:val="center"/>
        <w:rPr>
          <w:rFonts w:ascii="Calibri" w:hAnsi="Calibri" w:cs="Calibri"/>
          <w:sz w:val="20"/>
          <w:szCs w:val="20"/>
        </w:rPr>
      </w:pPr>
      <w:r w:rsidRPr="00311F74">
        <w:rPr>
          <w:rFonts w:ascii="Calibri" w:hAnsi="Calibri" w:cs="Calibri"/>
          <w:sz w:val="20"/>
          <w:szCs w:val="20"/>
        </w:rPr>
        <w:t xml:space="preserve">Developed by the </w:t>
      </w:r>
      <w:hyperlink r:id="rId5" w:history="1">
        <w:r w:rsidRPr="00311F74">
          <w:rPr>
            <w:rStyle w:val="Hyperlink"/>
            <w:rFonts w:ascii="Calibri" w:hAnsi="Calibri" w:cs="Calibri"/>
            <w:sz w:val="20"/>
            <w:szCs w:val="20"/>
          </w:rPr>
          <w:t>Urban Systems and Dynamics rese</w:t>
        </w:r>
        <w:r w:rsidRPr="00311F74">
          <w:rPr>
            <w:rStyle w:val="Hyperlink"/>
            <w:rFonts w:ascii="Calibri" w:hAnsi="Calibri" w:cs="Calibri"/>
            <w:sz w:val="20"/>
            <w:szCs w:val="20"/>
          </w:rPr>
          <w:t>a</w:t>
        </w:r>
        <w:r w:rsidRPr="00311F74">
          <w:rPr>
            <w:rStyle w:val="Hyperlink"/>
            <w:rFonts w:ascii="Calibri" w:hAnsi="Calibri" w:cs="Calibri"/>
            <w:sz w:val="20"/>
            <w:szCs w:val="20"/>
          </w:rPr>
          <w:t>rch group</w:t>
        </w:r>
      </w:hyperlink>
      <w:r w:rsidRPr="00311F74">
        <w:rPr>
          <w:rFonts w:ascii="Calibri" w:hAnsi="Calibri" w:cs="Calibri"/>
          <w:sz w:val="20"/>
          <w:szCs w:val="20"/>
        </w:rPr>
        <w:t>, Department of Building and Environmental Technology, Lund University</w:t>
      </w:r>
    </w:p>
    <w:p w14:paraId="6F6F97D2" w14:textId="0323FA46" w:rsidR="00311F74" w:rsidRPr="00311F74" w:rsidRDefault="00311F74" w:rsidP="00311F74">
      <w:pPr>
        <w:rPr>
          <w:rFonts w:ascii="Calibri" w:hAnsi="Calibri" w:cs="Calibri"/>
          <w:sz w:val="22"/>
          <w:szCs w:val="22"/>
        </w:rPr>
      </w:pPr>
      <w:r w:rsidRPr="00311F74">
        <w:rPr>
          <w:rFonts w:ascii="Calibri" w:hAnsi="Calibri" w:cs="Calibri"/>
          <w:sz w:val="22"/>
          <w:szCs w:val="22"/>
        </w:rPr>
        <w:t>Module 1 introduces the fundamental and emerging challenges that climate change poses to the built environment. It combines theoretical foundations, practical tools, and examples from research and practice to examine how buildings and urban environments can be designed and adapted to remain functional, comfortable, and energy efficient under both typical and extreme future climate conditions.</w:t>
      </w:r>
    </w:p>
    <w:p w14:paraId="1D7DA28A" w14:textId="16450767" w:rsidR="00311F74" w:rsidRPr="00311F74" w:rsidRDefault="00311F74" w:rsidP="00311F74">
      <w:pPr>
        <w:rPr>
          <w:rFonts w:ascii="Calibri" w:hAnsi="Calibri" w:cs="Calibri"/>
          <w:sz w:val="22"/>
          <w:szCs w:val="22"/>
        </w:rPr>
      </w:pPr>
      <w:r w:rsidRPr="00311F74">
        <w:rPr>
          <w:rFonts w:ascii="Calibri" w:hAnsi="Calibri" w:cs="Calibri"/>
          <w:sz w:val="22"/>
          <w:szCs w:val="22"/>
        </w:rPr>
        <w:t>The module is structured into four interconnected parts:</w:t>
      </w:r>
    </w:p>
    <w:p w14:paraId="77D15B73" w14:textId="027EED62" w:rsidR="00311F74" w:rsidRPr="00311F74" w:rsidRDefault="00311F74" w:rsidP="00311F74">
      <w:pPr>
        <w:pStyle w:val="ListParagraph"/>
        <w:numPr>
          <w:ilvl w:val="0"/>
          <w:numId w:val="1"/>
        </w:numPr>
        <w:rPr>
          <w:rFonts w:ascii="Calibri" w:hAnsi="Calibri" w:cs="Calibri"/>
          <w:sz w:val="22"/>
          <w:szCs w:val="22"/>
        </w:rPr>
      </w:pPr>
      <w:r w:rsidRPr="00311F74">
        <w:rPr>
          <w:rFonts w:ascii="Calibri" w:hAnsi="Calibri" w:cs="Calibri"/>
          <w:sz w:val="22"/>
          <w:szCs w:val="22"/>
        </w:rPr>
        <w:t>Part 1: Climate Change Fundamentals – From Global Drivers to Future Risks</w:t>
      </w:r>
    </w:p>
    <w:p w14:paraId="35AE4A62" w14:textId="19342087" w:rsidR="00311F74" w:rsidRPr="00311F74" w:rsidRDefault="00311F74" w:rsidP="00311F74">
      <w:pPr>
        <w:pStyle w:val="ListParagraph"/>
        <w:numPr>
          <w:ilvl w:val="0"/>
          <w:numId w:val="1"/>
        </w:numPr>
        <w:rPr>
          <w:rFonts w:ascii="Calibri" w:hAnsi="Calibri" w:cs="Calibri"/>
          <w:sz w:val="22"/>
          <w:szCs w:val="22"/>
        </w:rPr>
      </w:pPr>
      <w:r w:rsidRPr="00311F74">
        <w:rPr>
          <w:rFonts w:ascii="Calibri" w:hAnsi="Calibri" w:cs="Calibri"/>
          <w:sz w:val="22"/>
          <w:szCs w:val="22"/>
        </w:rPr>
        <w:t>Part 2: Climate Models and Future Climate Data</w:t>
      </w:r>
    </w:p>
    <w:p w14:paraId="7A6851F6" w14:textId="7FD0A60B" w:rsidR="00311F74" w:rsidRPr="00311F74" w:rsidRDefault="00311F74" w:rsidP="00311F74">
      <w:pPr>
        <w:pStyle w:val="ListParagraph"/>
        <w:numPr>
          <w:ilvl w:val="0"/>
          <w:numId w:val="1"/>
        </w:numPr>
        <w:rPr>
          <w:rFonts w:ascii="Calibri" w:hAnsi="Calibri" w:cs="Calibri"/>
          <w:sz w:val="22"/>
          <w:szCs w:val="22"/>
        </w:rPr>
      </w:pPr>
      <w:r w:rsidRPr="00311F74">
        <w:rPr>
          <w:rFonts w:ascii="Calibri" w:hAnsi="Calibri" w:cs="Calibri"/>
          <w:sz w:val="22"/>
          <w:szCs w:val="22"/>
        </w:rPr>
        <w:t>Part 3: Climate Adaptation, Resilience, and Mitigation</w:t>
      </w:r>
    </w:p>
    <w:p w14:paraId="71EDB2EB" w14:textId="37D0D1D2" w:rsidR="00311F74" w:rsidRPr="00311F74" w:rsidRDefault="00311F74" w:rsidP="00311F74">
      <w:pPr>
        <w:pStyle w:val="ListParagraph"/>
        <w:numPr>
          <w:ilvl w:val="0"/>
          <w:numId w:val="1"/>
        </w:numPr>
        <w:rPr>
          <w:rFonts w:ascii="Calibri" w:hAnsi="Calibri" w:cs="Calibri"/>
          <w:sz w:val="22"/>
          <w:szCs w:val="22"/>
        </w:rPr>
      </w:pPr>
      <w:r w:rsidRPr="00311F74">
        <w:rPr>
          <w:rFonts w:ascii="Calibri" w:hAnsi="Calibri" w:cs="Calibri"/>
          <w:sz w:val="22"/>
          <w:szCs w:val="22"/>
        </w:rPr>
        <w:t>Part 4: Climate-Resilient Urban Infrastructure</w:t>
      </w:r>
    </w:p>
    <w:p w14:paraId="605D476C" w14:textId="610E25E0" w:rsidR="00311F74" w:rsidRPr="00311F74" w:rsidRDefault="00311F74" w:rsidP="00311F74">
      <w:pPr>
        <w:rPr>
          <w:rFonts w:ascii="Calibri" w:hAnsi="Calibri" w:cs="Calibri"/>
          <w:sz w:val="22"/>
          <w:szCs w:val="22"/>
        </w:rPr>
      </w:pPr>
      <w:r w:rsidRPr="00311F74">
        <w:rPr>
          <w:rFonts w:ascii="Calibri" w:hAnsi="Calibri" w:cs="Calibri"/>
          <w:sz w:val="22"/>
          <w:szCs w:val="22"/>
        </w:rPr>
        <w:t xml:space="preserve">The learning materials combine lectures and self-paced content with practical exercises, examples, and tutorials. </w:t>
      </w:r>
      <w:proofErr w:type="gramStart"/>
      <w:r w:rsidRPr="00311F74">
        <w:rPr>
          <w:rFonts w:ascii="Calibri" w:hAnsi="Calibri" w:cs="Calibri"/>
          <w:sz w:val="22"/>
          <w:szCs w:val="22"/>
        </w:rPr>
        <w:t>Particular attention</w:t>
      </w:r>
      <w:proofErr w:type="gramEnd"/>
      <w:r w:rsidRPr="00311F74">
        <w:rPr>
          <w:rFonts w:ascii="Calibri" w:hAnsi="Calibri" w:cs="Calibri"/>
          <w:sz w:val="22"/>
          <w:szCs w:val="22"/>
        </w:rPr>
        <w:t xml:space="preserve"> is given to working with future climate data and assessing the effects of climate change on building performance. The module introduces relevant methods and tools for climate and building-performance analysis, including future climate datasets, </w:t>
      </w:r>
      <w:r w:rsidRPr="00311F74">
        <w:rPr>
          <w:rFonts w:ascii="Calibri" w:hAnsi="Calibri" w:cs="Calibri"/>
          <w:i/>
          <w:iCs/>
          <w:sz w:val="22"/>
          <w:szCs w:val="22"/>
        </w:rPr>
        <w:t>EnergyPlus</w:t>
      </w:r>
      <w:r w:rsidRPr="00311F74">
        <w:rPr>
          <w:rFonts w:ascii="Calibri" w:hAnsi="Calibri" w:cs="Calibri"/>
          <w:sz w:val="22"/>
          <w:szCs w:val="22"/>
        </w:rPr>
        <w:t xml:space="preserve"> for building energy simulation, and </w:t>
      </w:r>
      <w:r w:rsidRPr="00311F74">
        <w:rPr>
          <w:rFonts w:ascii="Calibri" w:hAnsi="Calibri" w:cs="Calibri"/>
          <w:i/>
          <w:iCs/>
          <w:sz w:val="22"/>
          <w:szCs w:val="22"/>
        </w:rPr>
        <w:t>Elements</w:t>
      </w:r>
      <w:r w:rsidRPr="00311F74">
        <w:rPr>
          <w:rFonts w:ascii="Calibri" w:hAnsi="Calibri" w:cs="Calibri"/>
          <w:sz w:val="22"/>
          <w:szCs w:val="22"/>
        </w:rPr>
        <w:t>. Supporting tutorials and open-access resources are provided to facilitate the practical use of these tools.</w:t>
      </w:r>
    </w:p>
    <w:p w14:paraId="1983AAEA" w14:textId="5B24C316" w:rsidR="00311F74" w:rsidRPr="00311F74" w:rsidRDefault="00311F74" w:rsidP="00311F74">
      <w:pPr>
        <w:rPr>
          <w:rFonts w:ascii="Calibri" w:hAnsi="Calibri" w:cs="Calibri"/>
          <w:sz w:val="22"/>
          <w:szCs w:val="22"/>
        </w:rPr>
      </w:pPr>
      <w:r w:rsidRPr="00311F74">
        <w:rPr>
          <w:rFonts w:ascii="Calibri" w:hAnsi="Calibri" w:cs="Calibri"/>
          <w:sz w:val="22"/>
          <w:szCs w:val="22"/>
        </w:rPr>
        <w:t xml:space="preserve">The module assignments also involve working with Python to </w:t>
      </w:r>
      <w:r w:rsidRPr="00311F74">
        <w:rPr>
          <w:rFonts w:ascii="Calibri" w:hAnsi="Calibri" w:cs="Calibri"/>
          <w:sz w:val="22"/>
          <w:szCs w:val="22"/>
        </w:rPr>
        <w:t>analyze</w:t>
      </w:r>
      <w:r w:rsidRPr="00311F74">
        <w:rPr>
          <w:rFonts w:ascii="Calibri" w:hAnsi="Calibri" w:cs="Calibri"/>
          <w:sz w:val="22"/>
          <w:szCs w:val="22"/>
        </w:rPr>
        <w:t xml:space="preserve"> climate data and energy simulation results in relation to building resilience and mitigation pathways. The required Python scripts are developed and shared through Google </w:t>
      </w:r>
      <w:proofErr w:type="spellStart"/>
      <w:r w:rsidRPr="00311F74">
        <w:rPr>
          <w:rFonts w:ascii="Calibri" w:hAnsi="Calibri" w:cs="Calibri"/>
          <w:sz w:val="22"/>
          <w:szCs w:val="22"/>
        </w:rPr>
        <w:t>Colab</w:t>
      </w:r>
      <w:proofErr w:type="spellEnd"/>
      <w:r w:rsidRPr="00311F74">
        <w:rPr>
          <w:rFonts w:ascii="Calibri" w:hAnsi="Calibri" w:cs="Calibri"/>
          <w:sz w:val="22"/>
          <w:szCs w:val="22"/>
        </w:rPr>
        <w:t>, allowing them to be run directly in a web browser without additional software installation. Prior knowledge of Python is not required to run the provided scripts, although basic familiarity with Python and reviewing the accompanying tutorials are recommended to better understand and work with the analyses.</w:t>
      </w:r>
    </w:p>
    <w:p w14:paraId="4745A449" w14:textId="4983AAD1" w:rsidR="00311F74" w:rsidRPr="00311F74" w:rsidRDefault="00311F74" w:rsidP="00311F74">
      <w:pPr>
        <w:rPr>
          <w:rFonts w:ascii="Calibri" w:hAnsi="Calibri" w:cs="Calibri"/>
          <w:sz w:val="22"/>
          <w:szCs w:val="22"/>
        </w:rPr>
      </w:pPr>
      <w:r w:rsidRPr="00311F74">
        <w:rPr>
          <w:rFonts w:ascii="Calibri" w:hAnsi="Calibri" w:cs="Calibri"/>
          <w:sz w:val="22"/>
          <w:szCs w:val="22"/>
        </w:rPr>
        <w:t xml:space="preserve">The module also includes optional “Extra Insights” materials that provide more detailed discussion and research examples for those interested in exploring </w:t>
      </w:r>
      <w:proofErr w:type="gramStart"/>
      <w:r w:rsidRPr="00311F74">
        <w:rPr>
          <w:rFonts w:ascii="Calibri" w:hAnsi="Calibri" w:cs="Calibri"/>
          <w:sz w:val="22"/>
          <w:szCs w:val="22"/>
        </w:rPr>
        <w:t>particular topics</w:t>
      </w:r>
      <w:proofErr w:type="gramEnd"/>
      <w:r w:rsidRPr="00311F74">
        <w:rPr>
          <w:rFonts w:ascii="Calibri" w:hAnsi="Calibri" w:cs="Calibri"/>
          <w:sz w:val="22"/>
          <w:szCs w:val="22"/>
        </w:rPr>
        <w:t xml:space="preserve"> further.</w:t>
      </w:r>
    </w:p>
    <w:p w14:paraId="35B38A26" w14:textId="0AF9B3E7" w:rsidR="00311F74" w:rsidRPr="00311F74" w:rsidRDefault="00311F74" w:rsidP="00311F74">
      <w:pPr>
        <w:rPr>
          <w:rFonts w:ascii="Calibri" w:hAnsi="Calibri" w:cs="Calibri"/>
          <w:sz w:val="22"/>
          <w:szCs w:val="22"/>
        </w:rPr>
      </w:pPr>
      <w:r w:rsidRPr="00311F74">
        <w:rPr>
          <w:rFonts w:ascii="Calibri" w:hAnsi="Calibri" w:cs="Calibri"/>
          <w:sz w:val="22"/>
          <w:szCs w:val="22"/>
        </w:rPr>
        <w:t>Overall, the module covers the interpretation and use of future climate scenarios, assessment of climate-related impacts on building performance, and performance-based approaches to climate adaptation and resilience. It also considers the influence of urban form, extreme weather events, and microclimatic variation on energy demand and thermal comfort.</w:t>
      </w:r>
    </w:p>
    <w:p w14:paraId="1134909E" w14:textId="77777777" w:rsidR="00311F74" w:rsidRPr="00311F74" w:rsidRDefault="00311F74" w:rsidP="00311F74">
      <w:pPr>
        <w:rPr>
          <w:rFonts w:ascii="Calibri" w:hAnsi="Calibri" w:cs="Calibri"/>
          <w:sz w:val="22"/>
          <w:szCs w:val="22"/>
        </w:rPr>
      </w:pPr>
      <w:r w:rsidRPr="00311F74">
        <w:rPr>
          <w:rFonts w:ascii="Calibri" w:hAnsi="Calibri" w:cs="Calibri"/>
          <w:sz w:val="22"/>
          <w:szCs w:val="22"/>
        </w:rPr>
        <w:t xml:space="preserve">For further information or to request additional teaching and learning materials, please contact Prof. </w:t>
      </w:r>
      <w:hyperlink r:id="rId6" w:history="1">
        <w:r w:rsidRPr="00311F74">
          <w:rPr>
            <w:rStyle w:val="Hyperlink"/>
            <w:rFonts w:ascii="Calibri" w:hAnsi="Calibri" w:cs="Calibri"/>
            <w:sz w:val="22"/>
            <w:szCs w:val="22"/>
          </w:rPr>
          <w:t>Kavan Java</w:t>
        </w:r>
        <w:r w:rsidRPr="00311F74">
          <w:rPr>
            <w:rStyle w:val="Hyperlink"/>
            <w:rFonts w:ascii="Calibri" w:hAnsi="Calibri" w:cs="Calibri"/>
            <w:sz w:val="22"/>
            <w:szCs w:val="22"/>
          </w:rPr>
          <w:t>n</w:t>
        </w:r>
        <w:r w:rsidRPr="00311F74">
          <w:rPr>
            <w:rStyle w:val="Hyperlink"/>
            <w:rFonts w:ascii="Calibri" w:hAnsi="Calibri" w:cs="Calibri"/>
            <w:sz w:val="22"/>
            <w:szCs w:val="22"/>
          </w:rPr>
          <w:t>roodi</w:t>
        </w:r>
      </w:hyperlink>
      <w:r w:rsidRPr="00311F74">
        <w:rPr>
          <w:rFonts w:ascii="Calibri" w:hAnsi="Calibri" w:cs="Calibri"/>
          <w:sz w:val="22"/>
          <w:szCs w:val="22"/>
        </w:rPr>
        <w:t xml:space="preserve"> at </w:t>
      </w:r>
      <w:hyperlink r:id="rId7" w:history="1">
        <w:r w:rsidRPr="00311F74">
          <w:rPr>
            <w:rStyle w:val="Hyperlink"/>
            <w:rFonts w:ascii="Calibri" w:hAnsi="Calibri" w:cs="Calibri"/>
            <w:sz w:val="22"/>
            <w:szCs w:val="22"/>
          </w:rPr>
          <w:t>kavan.javanroodi@byggtek.lth.se</w:t>
        </w:r>
      </w:hyperlink>
      <w:r w:rsidRPr="00311F74">
        <w:rPr>
          <w:rFonts w:ascii="Calibri" w:hAnsi="Calibri" w:cs="Calibri"/>
          <w:sz w:val="22"/>
          <w:szCs w:val="22"/>
        </w:rPr>
        <w:t xml:space="preserve"> . </w:t>
      </w:r>
    </w:p>
    <w:p w14:paraId="1BA3A21D" w14:textId="1AAD9B89" w:rsidR="00513325" w:rsidRPr="00311F74" w:rsidRDefault="00311F74" w:rsidP="00311F74">
      <w:pPr>
        <w:rPr>
          <w:rFonts w:ascii="Calibri" w:hAnsi="Calibri" w:cs="Calibri"/>
          <w:sz w:val="22"/>
          <w:szCs w:val="22"/>
        </w:rPr>
      </w:pPr>
      <w:r w:rsidRPr="00311F74">
        <w:rPr>
          <w:rFonts w:ascii="Calibri" w:hAnsi="Calibri" w:cs="Calibri"/>
          <w:sz w:val="22"/>
          <w:szCs w:val="22"/>
        </w:rPr>
        <w:t>All available materials can be provided upon request to evaluators, educators, learners, and members of the wider public.</w:t>
      </w:r>
    </w:p>
    <w:sectPr w:rsidR="00513325" w:rsidRPr="00311F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4E5F"/>
    <w:multiLevelType w:val="hybridMultilevel"/>
    <w:tmpl w:val="AFF48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650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74"/>
    <w:rsid w:val="000B26C2"/>
    <w:rsid w:val="00311F74"/>
    <w:rsid w:val="00513325"/>
    <w:rsid w:val="00900CC6"/>
    <w:rsid w:val="00A75FDC"/>
    <w:rsid w:val="00D9463E"/>
    <w:rsid w:val="00F849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65F9"/>
  <w15:chartTrackingRefBased/>
  <w15:docId w15:val="{D390716C-4414-4B4E-8FD2-55680C3D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F74"/>
    <w:rPr>
      <w:rFonts w:eastAsiaTheme="majorEastAsia" w:cstheme="majorBidi"/>
      <w:color w:val="272727" w:themeColor="text1" w:themeTint="D8"/>
    </w:rPr>
  </w:style>
  <w:style w:type="paragraph" w:styleId="Title">
    <w:name w:val="Title"/>
    <w:basedOn w:val="Normal"/>
    <w:next w:val="Normal"/>
    <w:link w:val="TitleChar"/>
    <w:uiPriority w:val="10"/>
    <w:qFormat/>
    <w:rsid w:val="00311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F74"/>
    <w:pPr>
      <w:spacing w:before="160"/>
      <w:jc w:val="center"/>
    </w:pPr>
    <w:rPr>
      <w:i/>
      <w:iCs/>
      <w:color w:val="404040" w:themeColor="text1" w:themeTint="BF"/>
    </w:rPr>
  </w:style>
  <w:style w:type="character" w:customStyle="1" w:styleId="QuoteChar">
    <w:name w:val="Quote Char"/>
    <w:basedOn w:val="DefaultParagraphFont"/>
    <w:link w:val="Quote"/>
    <w:uiPriority w:val="29"/>
    <w:rsid w:val="00311F74"/>
    <w:rPr>
      <w:i/>
      <w:iCs/>
      <w:color w:val="404040" w:themeColor="text1" w:themeTint="BF"/>
    </w:rPr>
  </w:style>
  <w:style w:type="paragraph" w:styleId="ListParagraph">
    <w:name w:val="List Paragraph"/>
    <w:basedOn w:val="Normal"/>
    <w:uiPriority w:val="34"/>
    <w:qFormat/>
    <w:rsid w:val="00311F74"/>
    <w:pPr>
      <w:ind w:left="720"/>
      <w:contextualSpacing/>
    </w:pPr>
  </w:style>
  <w:style w:type="character" w:styleId="IntenseEmphasis">
    <w:name w:val="Intense Emphasis"/>
    <w:basedOn w:val="DefaultParagraphFont"/>
    <w:uiPriority w:val="21"/>
    <w:qFormat/>
    <w:rsid w:val="00311F74"/>
    <w:rPr>
      <w:i/>
      <w:iCs/>
      <w:color w:val="0F4761" w:themeColor="accent1" w:themeShade="BF"/>
    </w:rPr>
  </w:style>
  <w:style w:type="paragraph" w:styleId="IntenseQuote">
    <w:name w:val="Intense Quote"/>
    <w:basedOn w:val="Normal"/>
    <w:next w:val="Normal"/>
    <w:link w:val="IntenseQuoteChar"/>
    <w:uiPriority w:val="30"/>
    <w:qFormat/>
    <w:rsid w:val="00311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F74"/>
    <w:rPr>
      <w:i/>
      <w:iCs/>
      <w:color w:val="0F4761" w:themeColor="accent1" w:themeShade="BF"/>
    </w:rPr>
  </w:style>
  <w:style w:type="character" w:styleId="IntenseReference">
    <w:name w:val="Intense Reference"/>
    <w:basedOn w:val="DefaultParagraphFont"/>
    <w:uiPriority w:val="32"/>
    <w:qFormat/>
    <w:rsid w:val="00311F74"/>
    <w:rPr>
      <w:b/>
      <w:bCs/>
      <w:smallCaps/>
      <w:color w:val="0F4761" w:themeColor="accent1" w:themeShade="BF"/>
      <w:spacing w:val="5"/>
    </w:rPr>
  </w:style>
  <w:style w:type="character" w:styleId="Hyperlink">
    <w:name w:val="Hyperlink"/>
    <w:basedOn w:val="DefaultParagraphFont"/>
    <w:uiPriority w:val="99"/>
    <w:unhideWhenUsed/>
    <w:rsid w:val="00311F74"/>
    <w:rPr>
      <w:color w:val="467886" w:themeColor="hyperlink"/>
      <w:u w:val="single"/>
    </w:rPr>
  </w:style>
  <w:style w:type="character" w:styleId="UnresolvedMention">
    <w:name w:val="Unresolved Mention"/>
    <w:basedOn w:val="DefaultParagraphFont"/>
    <w:uiPriority w:val="99"/>
    <w:semiHidden/>
    <w:unhideWhenUsed/>
    <w:rsid w:val="00311F74"/>
    <w:rPr>
      <w:color w:val="605E5C"/>
      <w:shd w:val="clear" w:color="auto" w:fill="E1DFDD"/>
    </w:rPr>
  </w:style>
  <w:style w:type="character" w:styleId="FollowedHyperlink">
    <w:name w:val="FollowedHyperlink"/>
    <w:basedOn w:val="DefaultParagraphFont"/>
    <w:uiPriority w:val="99"/>
    <w:semiHidden/>
    <w:unhideWhenUsed/>
    <w:rsid w:val="00311F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van.javanroodi@byggtek.lth.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research.lu.se/en/persons/kavan-javanroodi/" TargetMode="External"/><Relationship Id="rId5" Type="http://schemas.openxmlformats.org/officeDocument/2006/relationships/hyperlink" Target="https://portal.research.lu.se/en/organisations/urban-systems-and-dynamics-us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Kavan Javanroodi</dc:creator>
  <cp:keywords/>
  <dc:description/>
  <cp:lastModifiedBy>Kavan Javanroodi</cp:lastModifiedBy>
  <cp:revision>1</cp:revision>
  <dcterms:created xsi:type="dcterms:W3CDTF">2026-08-28T07:42:00Z</dcterms:created>
  <dcterms:modified xsi:type="dcterms:W3CDTF">2026-08-28T07:50:00Z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dd658067-a308-4d3e-b577-9841df323630</vt:lpwstr>
  </property>
</Properties>
</file>