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Leadership program client report template</w:t>
      </w:r>
    </w:p>
    <w:p>
      <w:r>
        <w:t xml:space="preserve">Editable employer-sponsor report · Complete and review before sharing</w:t>
      </w:r>
    </w:p>
    <w:p>
      <w:pPr>
        <w:pStyle w:val="Heading1"/>
        <w:keepNext/>
        <w:spacing w:after="150"/>
      </w:pPr>
      <w:r>
        <w:t xml:space="preserve">1. Scope and decision</w:t>
      </w:r>
    </w:p>
    <w:p>
      <w:pPr>
        <w:keepNext w:val="false"/>
        <w:spacing w:after="150"/>
      </w:pPr>
      <w:r>
        <w:t xml:space="preserve">Provider: [ ]. Employer client: [ ]. Program / cohort: [ ]. Enrolled count: [ ]. Baseline window: [ ]. Program end: [ ]. Follow-up window: [ ]. Evidence cutoff: [ ]. Report version / approver: [ ].</w:t>
      </w:r>
    </w:p>
    <w:p>
      <w:pPr>
        <w:keepNext w:val="false"/>
        <w:spacing w:after="150"/>
      </w:pPr>
      <w:r>
        <w:t xml:space="preserve">Decision this report supports: [continue, change support, request missing evidence, or another bounded decision].</w:t>
      </w:r>
    </w:p>
    <w:p>
      <w:pPr>
        <w:pStyle w:val="Heading1"/>
        <w:keepNext/>
        <w:spacing w:after="150"/>
      </w:pPr>
      <w:r>
        <w:t xml:space="preserve">2. Findings with the right base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  <w:shd w:fill="E4DFF2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</w:rPr>
              <w:t xml:space="preserve">Behavior / measure version</w:t>
            </w:r>
          </w:p>
        </w:tc>
        <w:tc>
          <w:tcPr>
            <w:tcW w:type="dxa" w:w="3120"/>
            <w:shd w:fill="E4DFF2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</w:rPr>
              <w:t xml:space="preserve">Matched count / eligible base</w:t>
            </w:r>
          </w:p>
        </w:tc>
        <w:tc>
          <w:tcPr>
            <w:tcW w:type="dxa" w:w="3120"/>
            <w:shd w:fill="E4DFF2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</w:rPr>
              <w:t xml:space="preserve">Finding and source</w:t>
            </w:r>
          </w:p>
        </w:tc>
      </w:tr>
      <w:tr>
        <w:trPr>
          <w:tblHeader w:val="false"/>
        </w:trPr>
        <w:tc>
          <w:tcPr>
            <w:tcW w:type="dxa" w:w="312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[behavior 1]</w:t>
            </w:r>
          </w:p>
        </w:tc>
        <w:tc>
          <w:tcPr>
            <w:tcW w:type="dxa" w:w="312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[n / N; coverage %]</w:t>
            </w:r>
          </w:p>
        </w:tc>
        <w:tc>
          <w:tcPr>
            <w:tcW w:type="dxa" w:w="312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[source-specific change or level]</w:t>
            </w:r>
          </w:p>
        </w:tc>
      </w:tr>
      <w:tr>
        <w:trPr>
          <w:tblHeader w:val="false"/>
        </w:trPr>
        <w:tc>
          <w:tcPr>
            <w:tcW w:type="dxa" w:w="312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[behavior 2]</w:t>
            </w:r>
          </w:p>
        </w:tc>
        <w:tc>
          <w:tcPr>
            <w:tcW w:type="dxa" w:w="312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[n / N; coverage %]</w:t>
            </w:r>
          </w:p>
        </w:tc>
        <w:tc>
          <w:tcPr>
            <w:tcW w:type="dxa" w:w="312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[source-specific change or level]</w:t>
            </w:r>
          </w:p>
        </w:tc>
      </w:tr>
    </w:tbl>
    <w:p/>
    <w:p>
      <w:pPr>
        <w:keepNext w:val="false"/>
        <w:spacing w:after="150"/>
      </w:pPr>
      <w:r>
        <w:t xml:space="preserve">Inclusion rule: [required time points, question versions, numeric states, observer continuity and opportunity rules]. Explain any difference between the enrolled population and the eligible comparison base.</w:t>
      </w:r>
    </w:p>
    <w:p>
      <w:pPr>
        <w:keepNext w:val="false"/>
        <w:spacing w:after="150"/>
      </w:pPr>
      <w:r>
        <w:t xml:space="preserve">What the finding supports: [bounded descriptive statement]. What it does not establish: [causality, financial ROI, generalization or other limits].</w:t>
      </w:r>
    </w:p>
    <w:p>
      <w:r>
        <w:br w:type="page"/>
      </w:r>
    </w:p>
    <w:p>
      <w:pPr>
        <w:pStyle w:val="Heading1"/>
        <w:keepNext/>
        <w:spacing w:after="150"/>
      </w:pPr>
      <w:r>
        <w:t xml:space="preserve">3. Missing evidence and next actions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80"/>
        <w:gridCol w:w="6480"/>
      </w:tblGrid>
      <w:tr>
        <w:trPr>
          <w:tblHeader/>
        </w:trPr>
        <w:tc>
          <w:tcPr>
            <w:tcW w:type="dxa" w:w="2880"/>
            <w:shd w:fill="E4DFF2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</w:rPr>
              <w:t xml:space="preserve">Evidence state</w:t>
            </w:r>
          </w:p>
        </w:tc>
        <w:tc>
          <w:tcPr>
            <w:tcW w:type="dxa" w:w="6480"/>
            <w:shd w:fill="E4DFF2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</w:rPr>
              <w:t xml:space="preserve">Count / interpretation</w:t>
            </w:r>
          </w:p>
        </w:tc>
      </w:tr>
      <w:tr>
        <w:trPr>
          <w:tblHeader w:val="false"/>
        </w:trPr>
        <w:tc>
          <w:tcPr>
            <w:tcW w:type="dxa" w:w="288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Missing follow-up</w:t>
            </w:r>
          </w:p>
        </w:tc>
        <w:tc>
          <w:tcPr>
            <w:tcW w:type="dxa" w:w="648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288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Not observed</w:t>
            </w:r>
          </w:p>
        </w:tc>
        <w:tc>
          <w:tcPr>
            <w:tcW w:type="dxa" w:w="648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288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 opportunity</w:t>
            </w:r>
          </w:p>
        </w:tc>
        <w:tc>
          <w:tcPr>
            <w:tcW w:type="dxa" w:w="648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288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Changed observer or question</w:t>
            </w:r>
          </w:p>
        </w:tc>
        <w:tc>
          <w:tcPr>
            <w:tcW w:type="dxa" w:w="648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288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Other / overlapping states</w:t>
            </w:r>
          </w:p>
        </w:tc>
        <w:tc>
          <w:tcPr>
            <w:tcW w:type="dxa" w:w="648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[state rule to avoid double counting]</w:t>
            </w:r>
          </w:p>
        </w:tc>
      </w:tr>
    </w:tbl>
    <w:p/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  <w:shd w:fill="E4DFF2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</w:rPr>
              <w:t xml:space="preserve">Next action</w:t>
            </w:r>
          </w:p>
        </w:tc>
        <w:tc>
          <w:tcPr>
            <w:tcW w:type="dxa" w:w="3120"/>
            <w:shd w:fill="E4DFF2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3120"/>
            <w:shd w:fill="E4DFF2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</w:rPr>
              <w:t xml:space="preserve">Review point</w:t>
            </w:r>
          </w:p>
        </w:tc>
      </w:tr>
      <w:tr>
        <w:trPr>
          <w:tblHeader w:val="false"/>
        </w:trPr>
        <w:tc>
          <w:tcPr>
            <w:tcW w:type="dxa" w:w="312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  <w:tc>
          <w:tcPr>
            <w:tcW w:type="dxa" w:w="312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  <w:tc>
          <w:tcPr>
            <w:tcW w:type="dxa" w:w="312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312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  <w:tc>
          <w:tcPr>
            <w:tcW w:type="dxa" w:w="312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  <w:tc>
          <w:tcPr>
            <w:tcW w:type="dxa" w:w="312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312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  <w:tc>
          <w:tcPr>
            <w:tcW w:type="dxa" w:w="312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  <w:tc>
          <w:tcPr>
            <w:tcW w:type="dxa" w:w="312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</w:tr>
    </w:tbl>
    <w:p/>
    <w:p>
      <w:pPr>
        <w:pStyle w:val="Heading1"/>
        <w:keepNext/>
        <w:spacing w:after="150"/>
      </w:pPr>
      <w:r>
        <w:t xml:space="preserve">4. Sharing and revision checks</w:t>
      </w:r>
    </w:p>
    <w:p>
      <w:pPr>
        <w:keepNext w:val="false"/>
        <w:spacing w:after="150"/>
      </w:pPr>
      <w:r>
        <w:t xml:space="preserve">Authorized audience: [ ]. Restricted material excluded: [ ]. Linked-source access checked by: [ ]. Small-group disclosure review: [ ]. Source register / calculation version: [ ]. Correction contact: [ ].</w:t>
      </w:r>
    </w:p>
    <w:p>
      <w:pPr>
        <w:keepNext w:val="false"/>
        <w:spacing w:after="150"/>
      </w:pPr>
      <w:r>
        <w:t xml:space="preserve">If new evidence arrives: preserve the issued version, record what changed, recalculate only affected measures, and explain any new denominator. A date field is not an automated reminder; assign the actual follow-up method and owner.</w:t>
      </w:r>
    </w:p>
    <w:p>
      <w:pPr>
        <w:keepNext w:val="false"/>
        <w:spacing w:after="150"/>
      </w:pPr>
      <w:r>
        <w:t xml:space="preserve">Before sharing, remove all placeholders and verify each number against the approved evidence. Keep any individual coach report separate and share it only with its authorized audience.</w:t>
      </w:r>
    </w:p>
    <w:sectPr>
      <w:footerReference w:type="default" r:id="rId7"/>
      <w:pgSz w:w="12240" w:h="15840" w:orient="portrait"/>
      <w:pgMar w:top="900" w:right="1440" w:bottom="9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sz w:val="16"/>
        <w:szCs w:val="16"/>
      </w:rPr>
      <w:t xml:space="preserve">Sopact · Leadership evaluation · Version 1   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B2542"/>
        <w:sz w:val="21"/>
        <w:szCs w:val="21"/>
      </w:rPr>
    </w:rPrDefault>
    <w:pPrDefault>
      <w:pPr>
        <w:spacing w:after="140" w:line="28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Leadership program client report template</dc:title>
  <dc:creator>Sopact</dc:creator>
  <cp:lastModifiedBy>Un-named</cp:lastModifiedBy>
  <cp:revision>1</cp:revision>
  <dcterms:created xsi:type="dcterms:W3CDTF">2026-09-29T01:31:05.248Z</dcterms:created>
  <dcterms:modified xsi:type="dcterms:W3CDTF">2026-09-29T01:31:05.248Z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