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Leadership program client report</w:t>
      </w:r>
    </w:p>
    <w:p>
      <w:r>
        <w:t xml:space="preserve">Completed fictional example · Aggregate employer-sponsor view</w:t>
      </w:r>
    </w:p>
    <w:p>
      <w:pPr>
        <w:pStyle w:val="Heading1"/>
        <w:keepNext/>
        <w:spacing w:after="150"/>
      </w:pPr>
      <w:r>
        <w:t xml:space="preserve">Decision: continue with targeted follow-up</w:t>
      </w:r>
    </w:p>
    <w:p>
      <w:pPr>
        <w:keepNext w:val="false"/>
        <w:spacing w:after="150"/>
      </w:pPr>
      <w:r>
        <w:t xml:space="preserve">Synthetic teaching example, not a Sopact customer result. Client A · 20 enrolled leaders. Baseline: March 2, 2026. Program end: April 13. Follow-up: June 12, 60 days later. Report version 1; evidence cutoff June 12.</w:t>
      </w:r>
    </w:p>
    <w:p>
      <w:pPr>
        <w:keepNext w:val="false"/>
        <w:spacing w:after="150"/>
      </w:pPr>
      <w:r>
        <w:t xml:space="preserve">The available delegation ratings support continued practice and a focused review of gaps. They do not support a claim that all 20 leaders improved or that the program caused the changes.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Delegation measure</w:t>
            </w:r>
          </w:p>
        </w:tc>
        <w:tc>
          <w:tcPr>
            <w:tcW w:type="dxa" w:w="64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Result at cutoff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Matched comparison coverage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 of 20 enrolled leaders (70%)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rating increased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 of the 14 matched leaders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rating unchanged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of the 14 matched leaders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rating decreased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of the 14 matched leaders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Outside this comparison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 of 20; reasons below</w:t>
            </w:r>
          </w:p>
        </w:tc>
      </w:tr>
    </w:tbl>
    <w:p/>
    <w:p>
      <w:pPr>
        <w:keepNext w:val="false"/>
        <w:spacing w:after="150"/>
      </w:pPr>
      <w:r>
        <w:t xml:space="preserve">Comparison rule: each included leader has numeric baseline and follow-up ratings for both self and the same manager, on the same measure version and 1–5 scale. Manager change is calculated within that common sample. Self ratings remain a separate perspective.</w:t>
      </w:r>
    </w:p>
    <w:p>
      <w:pPr>
        <w:keepNext w:val="false"/>
        <w:spacing w:after="150"/>
      </w:pPr>
      <w:r>
        <w:t xml:space="preserve">A higher manager rating is an observed rating change, not a validated threshold for meaningful improvement. No business-performance or financial benefit is calculated.</w:t>
      </w:r>
    </w:p>
    <w:p>
      <w:r>
        <w:br w:type="page"/>
      </w:r>
    </w:p>
    <w:p>
      <w:pPr>
        <w:pStyle w:val="Heading1"/>
        <w:keepNext/>
        <w:spacing w:after="150"/>
      </w:pPr>
      <w:r>
        <w:t xml:space="preserve">Coverage, limitations and next actions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Why a leader is outside this comparison</w:t>
            </w:r>
          </w:p>
        </w:tc>
        <w:tc>
          <w:tcPr>
            <w:tcW w:type="dxa" w:w="64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Count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Missing manager follow-up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could not observe enough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reports no relevant opportunity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changed between periods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Self reports no relevant opportunity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</w:tr>
    </w:tbl>
    <w:p/>
    <w:p>
      <w:pPr>
        <w:keepNext w:val="false"/>
        <w:spacing w:after="150"/>
      </w:pPr>
      <w:r>
        <w:t xml:space="preserve">These six categories are mutually exclusive in this fictional dataset. In a real program, define a rule for overlapping reasons. No opportunity, missing evidence and declining performance require different responses.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Proposed action</w:t>
            </w:r>
          </w:p>
        </w:tc>
        <w:tc>
          <w:tcPr>
            <w:tcW w:type="dxa" w:w="64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Owner / review point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Request outstanding permitted follow-ups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Program coordinator / next reporting review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Arrange suitable practice where opportunity was absent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Participant and manager / next relevant task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unchanged or lower ratings in a private debrief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Assigned coach / next agreed session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Check comparability after a manager change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Evaluation lead / before any revised comparison</w:t>
            </w:r>
          </w:p>
        </w:tc>
      </w:tr>
    </w:tbl>
    <w:p/>
    <w:p>
      <w:pPr>
        <w:keepNext w:val="false"/>
        <w:spacing w:after="150"/>
      </w:pPr>
      <w:r>
        <w:t xml:space="preserve">Limits: small cohort; incomplete evidence; selected matched sample; no comparison group; no causal attribution. An employer report does not include private coaching notes, individual rankings or another client’s records. This example’s aggregates still require a context-specific disclosure review before use with real people.</w:t>
      </w:r>
    </w:p>
    <w:p>
      <w:pPr>
        <w:keepNext w:val="false"/>
        <w:spacing w:after="150"/>
      </w:pPr>
      <w:r>
        <w:t xml:space="preserve">Report version 2 illustration: one late, valid manager delegation response raises matched coverage to 15/20 (75%). Within that revised sample, 13 manager ratings increased, one was unchanged and one decreased. Keep version 1 unchanged and explain the revision. The late delegation response does not change the feedback-behavior sample.</w:t>
      </w:r>
    </w:p>
    <w:p>
      <w:pPr>
        <w:keepNext w:val="false"/>
        <w:spacing w:after="150"/>
      </w:pPr>
      <w:r>
        <w:t xml:space="preserve">Method and reusable blank: https://www.sopact.com/academy/govern-training-reporting</w:t>
      </w:r>
    </w:p>
    <w:sectPr>
      <w:footerReference w:type="default" r:id="rId7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Sopact · Leadership evaluation · Version 1  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542"/>
        <w:sz w:val="21"/>
        <w:szCs w:val="21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program client report</dc:title>
  <dc:creator>Sopact</dc:creator>
  <cp:lastModifiedBy>Un-named</cp:lastModifiedBy>
  <cp:revision>1</cp:revision>
  <dcterms:created xsi:type="dcterms:W3CDTF">2026-09-29T01:31:05.242Z</dcterms:created>
  <dcterms:modified xsi:type="dcterms:W3CDTF">2026-09-29T01:31:05.242Z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