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60"/>
      </w:tblGrid>
      <w:tr w:rsidR="00DD05DB" w:rsidRPr="00BA5B62" w14:paraId="7134ABAC" w14:textId="77777777">
        <w:tc>
          <w:tcPr>
            <w:tcW w:w="9760" w:type="dxa"/>
            <w:shd w:val="clear" w:color="auto" w:fill="11284B"/>
            <w:tcMar>
              <w:top w:w="90" w:type="dxa"/>
              <w:left w:w="120" w:type="dxa"/>
              <w:bottom w:w="90" w:type="dxa"/>
              <w:right w:w="120" w:type="dxa"/>
            </w:tcMar>
          </w:tcPr>
          <w:p w14:paraId="3B4C17AA" w14:textId="77777777" w:rsidR="00DD05DB" w:rsidRPr="00BA5B62" w:rsidRDefault="00000000">
            <w:pPr>
              <w:jc w:val="center"/>
              <w:rPr>
                <w:rFonts w:ascii="Times New Roman" w:hAnsi="Times New Roman" w:cs="Times New Roman"/>
              </w:rPr>
            </w:pPr>
            <w:r w:rsidRPr="00BA5B62">
              <w:rPr>
                <w:rFonts w:ascii="Times New Roman" w:hAnsi="Times New Roman" w:cs="Times New Roman"/>
                <w:b/>
                <w:bCs/>
                <w:color w:val="FFFFFF"/>
                <w:spacing w:val="14"/>
                <w:sz w:val="24"/>
                <w:szCs w:val="24"/>
              </w:rPr>
              <w:t>NASA SEWP VI ORDERING GUIDE</w:t>
            </w:r>
          </w:p>
        </w:tc>
      </w:tr>
    </w:tbl>
    <w:p w14:paraId="0CAADA4D" w14:textId="77777777" w:rsidR="00DD05DB" w:rsidRPr="00BA5B62" w:rsidRDefault="00DD05DB">
      <w:pPr>
        <w:spacing w:after="200"/>
        <w:rPr>
          <w:rFonts w:ascii="Times New Roman" w:hAnsi="Times New Roman" w:cs="Times New Roman"/>
        </w:rPr>
      </w:pP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560"/>
        <w:gridCol w:w="4200"/>
      </w:tblGrid>
      <w:tr w:rsidR="00DD05DB" w:rsidRPr="00BA5B62" w14:paraId="36849978" w14:textId="77777777">
        <w:tc>
          <w:tcPr>
            <w:tcW w:w="5560" w:type="dxa"/>
            <w:tcMar>
              <w:top w:w="0" w:type="dxa"/>
              <w:left w:w="0" w:type="dxa"/>
              <w:bottom w:w="0" w:type="dxa"/>
              <w:right w:w="260" w:type="dxa"/>
            </w:tcMar>
          </w:tcPr>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200"/>
            </w:tblGrid>
            <w:tr w:rsidR="00DD05DB" w:rsidRPr="00BA5B62" w14:paraId="5C101380" w14:textId="77777777">
              <w:tc>
                <w:tcPr>
                  <w:tcW w:w="5200" w:type="dxa"/>
                  <w:shd w:val="clear" w:color="auto" w:fill="11284B"/>
                  <w:tcMar>
                    <w:top w:w="220" w:type="dxa"/>
                    <w:left w:w="150" w:type="dxa"/>
                    <w:bottom w:w="220" w:type="dxa"/>
                    <w:right w:w="150" w:type="dxa"/>
                  </w:tcMar>
                </w:tcPr>
                <w:p w14:paraId="11857658" w14:textId="77777777" w:rsidR="00DD05DB" w:rsidRPr="00BA5B62" w:rsidRDefault="00000000">
                  <w:pPr>
                    <w:spacing w:after="50"/>
                    <w:jc w:val="center"/>
                    <w:rPr>
                      <w:rFonts w:ascii="Times New Roman" w:hAnsi="Times New Roman" w:cs="Times New Roman"/>
                    </w:rPr>
                  </w:pPr>
                  <w:r w:rsidRPr="00BA5B62">
                    <w:rPr>
                      <w:rFonts w:ascii="Times New Roman" w:hAnsi="Times New Roman" w:cs="Times New Roman"/>
                      <w:b/>
                      <w:bCs/>
                      <w:color w:val="FFFFFF"/>
                      <w:sz w:val="34"/>
                      <w:szCs w:val="34"/>
                    </w:rPr>
                    <w:t>NASA SEWP VI</w:t>
                  </w:r>
                </w:p>
                <w:p w14:paraId="4819D48D" w14:textId="77777777" w:rsidR="00DD05DB" w:rsidRPr="00BA5B62" w:rsidRDefault="00000000">
                  <w:pPr>
                    <w:spacing w:after="120"/>
                    <w:jc w:val="center"/>
                    <w:rPr>
                      <w:rFonts w:ascii="Times New Roman" w:hAnsi="Times New Roman" w:cs="Times New Roman"/>
                    </w:rPr>
                  </w:pPr>
                  <w:r w:rsidRPr="00BA5B62">
                    <w:rPr>
                      <w:rFonts w:ascii="Times New Roman" w:hAnsi="Times New Roman" w:cs="Times New Roman"/>
                      <w:color w:val="D6E2F0"/>
                      <w:sz w:val="17"/>
                      <w:szCs w:val="17"/>
                    </w:rPr>
                    <w:t>Solutions for Enterprise-Wide Procurement</w:t>
                  </w:r>
                </w:p>
                <w:p w14:paraId="21FC031C" w14:textId="77777777" w:rsidR="00DD05DB" w:rsidRPr="00BA5B62" w:rsidRDefault="00000000">
                  <w:pPr>
                    <w:jc w:val="center"/>
                    <w:rPr>
                      <w:rFonts w:ascii="Times New Roman" w:hAnsi="Times New Roman" w:cs="Times New Roman"/>
                    </w:rPr>
                  </w:pPr>
                  <w:r w:rsidRPr="00BA5B62">
                    <w:rPr>
                      <w:rFonts w:ascii="Times New Roman" w:hAnsi="Times New Roman" w:cs="Times New Roman"/>
                      <w:b/>
                      <w:bCs/>
                      <w:color w:val="FFFFFF"/>
                      <w:sz w:val="22"/>
                      <w:szCs w:val="22"/>
                    </w:rPr>
                    <w:t>CONTRACT HOLDER</w:t>
                  </w:r>
                </w:p>
              </w:tc>
            </w:tr>
          </w:tbl>
          <w:p w14:paraId="6FC8F688" w14:textId="77777777" w:rsidR="00DD05DB" w:rsidRPr="00BA5B62" w:rsidRDefault="00DD05DB">
            <w:pPr>
              <w:spacing w:after="200"/>
              <w:rPr>
                <w:rFonts w:ascii="Times New Roman" w:hAnsi="Times New Roman" w:cs="Times New Roman"/>
              </w:rPr>
            </w:pPr>
          </w:p>
          <w:p w14:paraId="0BA6A1DE"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SEWP OVERVIEW</w:t>
            </w:r>
          </w:p>
          <w:p w14:paraId="129C68D7" w14:textId="25D3E3A4"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NASA SEWP VI – The NASA SEWP (Solutions for Enterprise-Wide Procurement), pronounced "soup", provides the latest Information Technology, Communication, and Audio-Visual (ITC/AV) solutions and services for all Federal Agencies and their approved contractors. Created in 1993, SEWP I was the first Government-Wide Acquisition Contract (GWAC) in the federal acquisition space. Originally, the contract vehicle provided only technology products for NASA and all other agencies. SEWP has continually evolved over the past 30 years, expanding its scope to meet </w:t>
            </w:r>
            <w:r w:rsidR="00BA5B62" w:rsidRPr="00BA5B62">
              <w:rPr>
                <w:rFonts w:ascii="Times New Roman" w:hAnsi="Times New Roman" w:cs="Times New Roman"/>
              </w:rPr>
              <w:t>customer requests</w:t>
            </w:r>
            <w:r w:rsidRPr="00BA5B62">
              <w:rPr>
                <w:rFonts w:ascii="Times New Roman" w:hAnsi="Times New Roman" w:cs="Times New Roman"/>
              </w:rPr>
              <w:t>. The SEWP vehicle represents acquisition innovation within the Federal Government. The program is self-funded through usage fees (0.34%) and provides all Federal agencies with acquisition support - more than 50,000 orders a year.</w:t>
            </w:r>
          </w:p>
          <w:p w14:paraId="156EB382"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FAIR OPPORTUNITY</w:t>
            </w:r>
          </w:p>
          <w:p w14:paraId="52E94CEE"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FAR 16.505(b) (1) provides that each contractor shall be given fair opportunity to be considered for each order exceeding $10,000 and issued under multiple award contracts. The FAR states that the method to obtain fair opportunity is at the discretion of the Contracting Officer (CO) and that the CO must document the rationale for placement and price of each order. Using the SEWP online Quote Request Tool is the recommended method to assist in this activity and to augment the required decision documentation. The SEWP Quote Request Tool (QRT) will automatically include the Contract Holders within a selected Group or based on a suggested source.</w:t>
            </w:r>
          </w:p>
          <w:p w14:paraId="5B3923F8"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About Tryfacta, Inc.</w:t>
            </w:r>
          </w:p>
          <w:p w14:paraId="3A25D54F" w14:textId="6D1FB188"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Tryfacta, Inc. holds NASA SEWP VI awards in Category B – Enterprise-Wide ITC/AV Service Solutions and </w:t>
            </w:r>
            <w:r w:rsidR="008D4937" w:rsidRPr="008D4937">
              <w:rPr>
                <w:rFonts w:ascii="Times New Roman" w:hAnsi="Times New Roman" w:cs="Times New Roman"/>
              </w:rPr>
              <w:t>Category C – Mission-Based ITC/AV Service Solutions</w:t>
            </w:r>
            <w:r w:rsidRPr="00BA5B62">
              <w:rPr>
                <w:rFonts w:ascii="Times New Roman" w:hAnsi="Times New Roman" w:cs="Times New Roman"/>
              </w:rPr>
              <w:t>.</w:t>
            </w:r>
          </w:p>
          <w:p w14:paraId="587506F9" w14:textId="77777777" w:rsidR="00DD05DB" w:rsidRPr="00BA5B62" w:rsidRDefault="00000000">
            <w:pPr>
              <w:spacing w:after="60"/>
              <w:rPr>
                <w:rFonts w:ascii="Times New Roman" w:hAnsi="Times New Roman" w:cs="Times New Roman"/>
              </w:rPr>
            </w:pPr>
            <w:r w:rsidRPr="00BA5B62">
              <w:rPr>
                <w:rFonts w:ascii="Times New Roman" w:hAnsi="Times New Roman" w:cs="Times New Roman"/>
              </w:rPr>
              <w:t xml:space="preserve">Visit our website: </w:t>
            </w:r>
            <w:hyperlink r:id="rId5" w:history="1">
              <w:r w:rsidR="00DD05DB" w:rsidRPr="00BA5B62">
                <w:rPr>
                  <w:rFonts w:ascii="Times New Roman" w:hAnsi="Times New Roman" w:cs="Times New Roman"/>
                  <w:color w:val="1F6FB2"/>
                  <w:u w:val="single"/>
                </w:rPr>
                <w:t>https://www.tryfacta.com</w:t>
              </w:r>
            </w:hyperlink>
          </w:p>
        </w:tc>
        <w:tc>
          <w:tcPr>
            <w:tcW w:w="4200" w:type="dxa"/>
            <w:shd w:val="clear" w:color="auto" w:fill="ECEFF4"/>
            <w:tcMar>
              <w:top w:w="240" w:type="dxa"/>
              <w:left w:w="200" w:type="dxa"/>
              <w:bottom w:w="240" w:type="dxa"/>
              <w:right w:w="200" w:type="dxa"/>
            </w:tcMar>
          </w:tcPr>
          <w:p w14:paraId="1C995F0B" w14:textId="36DE55C3" w:rsidR="00DD05DB" w:rsidRPr="00BA5B62" w:rsidRDefault="00BA5B62">
            <w:pPr>
              <w:spacing w:after="40"/>
              <w:jc w:val="center"/>
              <w:rPr>
                <w:rFonts w:ascii="Times New Roman" w:hAnsi="Times New Roman" w:cs="Times New Roman"/>
              </w:rPr>
            </w:pPr>
            <w:r w:rsidRPr="00BA5B62">
              <w:rPr>
                <w:rFonts w:ascii="Times New Roman" w:hAnsi="Times New Roman" w:cs="Times New Roman"/>
                <w:noProof/>
              </w:rPr>
              <w:drawing>
                <wp:inline distT="0" distB="0" distL="0" distR="0" wp14:anchorId="0A8CF63B" wp14:editId="340F2B43">
                  <wp:extent cx="2105405" cy="194945"/>
                  <wp:effectExtent l="0" t="0" r="9525" b="0"/>
                  <wp:docPr id="98440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0098" name="Picture 9844009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1732" cy="202012"/>
                          </a:xfrm>
                          <a:prstGeom prst="rect">
                            <a:avLst/>
                          </a:prstGeom>
                        </pic:spPr>
                      </pic:pic>
                    </a:graphicData>
                  </a:graphic>
                </wp:inline>
              </w:drawing>
            </w:r>
          </w:p>
          <w:p w14:paraId="42DFE1A4" w14:textId="77777777" w:rsidR="00DD05DB" w:rsidRPr="00BA5B62" w:rsidRDefault="00000000">
            <w:pPr>
              <w:spacing w:after="170"/>
              <w:jc w:val="center"/>
              <w:rPr>
                <w:rFonts w:ascii="Times New Roman" w:hAnsi="Times New Roman" w:cs="Times New Roman"/>
              </w:rPr>
            </w:pPr>
            <w:r w:rsidRPr="00BA5B62">
              <w:rPr>
                <w:rFonts w:ascii="Times New Roman" w:hAnsi="Times New Roman" w:cs="Times New Roman"/>
                <w:i/>
                <w:iCs/>
                <w:color w:val="5A5A5A"/>
                <w:sz w:val="17"/>
                <w:szCs w:val="17"/>
              </w:rPr>
              <w:t>NASA SEWP VI Contract Holder</w:t>
            </w:r>
          </w:p>
          <w:p w14:paraId="21E036B5" w14:textId="77777777" w:rsidR="00DD05DB" w:rsidRPr="00BA5B62" w:rsidRDefault="00000000">
            <w:pPr>
              <w:spacing w:after="30"/>
              <w:jc w:val="center"/>
              <w:rPr>
                <w:rFonts w:ascii="Times New Roman" w:hAnsi="Times New Roman" w:cs="Times New Roman"/>
              </w:rPr>
            </w:pPr>
            <w:r w:rsidRPr="00BA5B62">
              <w:rPr>
                <w:rFonts w:ascii="Times New Roman" w:hAnsi="Times New Roman" w:cs="Times New Roman"/>
                <w:b/>
                <w:bCs/>
                <w:color w:val="11284B"/>
                <w:sz w:val="20"/>
                <w:szCs w:val="20"/>
              </w:rPr>
              <w:t>Category B Contract</w:t>
            </w:r>
          </w:p>
          <w:p w14:paraId="319F8756" w14:textId="77777777" w:rsidR="00DD05DB" w:rsidRPr="00BA5B62" w:rsidRDefault="00000000">
            <w:pPr>
              <w:spacing w:after="120"/>
              <w:jc w:val="center"/>
              <w:rPr>
                <w:rFonts w:ascii="Times New Roman" w:hAnsi="Times New Roman" w:cs="Times New Roman"/>
              </w:rPr>
            </w:pPr>
            <w:r w:rsidRPr="00BA5B62">
              <w:rPr>
                <w:rFonts w:ascii="Times New Roman" w:hAnsi="Times New Roman" w:cs="Times New Roman"/>
                <w:b/>
                <w:bCs/>
                <w:color w:val="1F6FB2"/>
                <w:sz w:val="22"/>
                <w:szCs w:val="22"/>
              </w:rPr>
              <w:t>80TECH26D1353</w:t>
            </w:r>
          </w:p>
          <w:p w14:paraId="5017AFF4" w14:textId="77777777" w:rsidR="00DD05DB" w:rsidRPr="00BA5B62" w:rsidRDefault="00000000">
            <w:pPr>
              <w:spacing w:after="30"/>
              <w:jc w:val="center"/>
              <w:rPr>
                <w:rFonts w:ascii="Times New Roman" w:hAnsi="Times New Roman" w:cs="Times New Roman"/>
              </w:rPr>
            </w:pPr>
            <w:r w:rsidRPr="00BA5B62">
              <w:rPr>
                <w:rFonts w:ascii="Times New Roman" w:hAnsi="Times New Roman" w:cs="Times New Roman"/>
                <w:b/>
                <w:bCs/>
                <w:color w:val="11284B"/>
                <w:sz w:val="20"/>
                <w:szCs w:val="20"/>
              </w:rPr>
              <w:t>Category C Contract</w:t>
            </w:r>
          </w:p>
          <w:p w14:paraId="37C608F2" w14:textId="77777777" w:rsidR="00DD05DB" w:rsidRPr="00BA5B62" w:rsidRDefault="00000000">
            <w:pPr>
              <w:spacing w:after="120"/>
              <w:jc w:val="center"/>
              <w:rPr>
                <w:rFonts w:ascii="Times New Roman" w:hAnsi="Times New Roman" w:cs="Times New Roman"/>
              </w:rPr>
            </w:pPr>
            <w:r w:rsidRPr="00BA5B62">
              <w:rPr>
                <w:rFonts w:ascii="Times New Roman" w:hAnsi="Times New Roman" w:cs="Times New Roman"/>
                <w:b/>
                <w:bCs/>
                <w:color w:val="1F6FB2"/>
                <w:sz w:val="22"/>
                <w:szCs w:val="22"/>
              </w:rPr>
              <w:t>80TECH26D0066</w:t>
            </w:r>
          </w:p>
          <w:p w14:paraId="4351F592" w14:textId="77777777" w:rsidR="00DD05DB" w:rsidRPr="00BA5B62" w:rsidRDefault="00000000">
            <w:pPr>
              <w:spacing w:after="40"/>
              <w:jc w:val="center"/>
              <w:rPr>
                <w:rFonts w:ascii="Times New Roman" w:hAnsi="Times New Roman" w:cs="Times New Roman"/>
              </w:rPr>
            </w:pPr>
            <w:r w:rsidRPr="00BA5B62">
              <w:rPr>
                <w:rFonts w:ascii="Times New Roman" w:hAnsi="Times New Roman" w:cs="Times New Roman"/>
              </w:rPr>
              <w:t>PoP: November 2026 - 2036</w:t>
            </w:r>
          </w:p>
          <w:p w14:paraId="3A46AAB8" w14:textId="77777777" w:rsidR="00DD05DB" w:rsidRPr="00BA5B62" w:rsidRDefault="00000000">
            <w:pPr>
              <w:spacing w:after="190"/>
              <w:jc w:val="center"/>
              <w:rPr>
                <w:rFonts w:ascii="Times New Roman" w:hAnsi="Times New Roman" w:cs="Times New Roman"/>
              </w:rPr>
            </w:pPr>
            <w:r w:rsidRPr="00BA5B62">
              <w:rPr>
                <w:rFonts w:ascii="Times New Roman" w:hAnsi="Times New Roman" w:cs="Times New Roman"/>
                <w:color w:val="5A5A5A"/>
                <w:sz w:val="17"/>
                <w:szCs w:val="17"/>
              </w:rPr>
              <w:t>UEI: DNXNJJDKLYM6   ·   CAGE: 73K81</w:t>
            </w:r>
          </w:p>
          <w:p w14:paraId="44103607" w14:textId="77777777" w:rsidR="00DD05DB" w:rsidRPr="00BA5B62" w:rsidRDefault="00000000">
            <w:pPr>
              <w:spacing w:after="50"/>
              <w:jc w:val="center"/>
              <w:rPr>
                <w:rFonts w:ascii="Times New Roman" w:hAnsi="Times New Roman" w:cs="Times New Roman"/>
              </w:rPr>
            </w:pPr>
            <w:r w:rsidRPr="00BA5B62">
              <w:rPr>
                <w:rFonts w:ascii="Times New Roman" w:hAnsi="Times New Roman" w:cs="Times New Roman"/>
                <w:b/>
                <w:bCs/>
                <w:color w:val="11284B"/>
              </w:rPr>
              <w:t>Main Office Address:</w:t>
            </w:r>
          </w:p>
          <w:p w14:paraId="3CF57493"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18"/>
                <w:szCs w:val="18"/>
              </w:rPr>
              <w:t>Tryfacta, Inc.</w:t>
            </w:r>
          </w:p>
          <w:p w14:paraId="2F85F090"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18"/>
                <w:szCs w:val="18"/>
              </w:rPr>
              <w:t>11501 Dublin Boulevard, Suite 200</w:t>
            </w:r>
          </w:p>
          <w:p w14:paraId="406A90E4" w14:textId="77777777" w:rsidR="00DD05DB" w:rsidRPr="00BA5B62" w:rsidRDefault="00000000">
            <w:pPr>
              <w:spacing w:after="190"/>
              <w:jc w:val="center"/>
              <w:rPr>
                <w:rFonts w:ascii="Times New Roman" w:hAnsi="Times New Roman" w:cs="Times New Roman"/>
              </w:rPr>
            </w:pPr>
            <w:r w:rsidRPr="00BA5B62">
              <w:rPr>
                <w:rFonts w:ascii="Times New Roman" w:hAnsi="Times New Roman" w:cs="Times New Roman"/>
                <w:sz w:val="18"/>
                <w:szCs w:val="18"/>
              </w:rPr>
              <w:t>Dublin, CA 94568</w:t>
            </w:r>
          </w:p>
          <w:p w14:paraId="534546BB" w14:textId="77777777" w:rsidR="00DD05DB" w:rsidRPr="00BA5B62" w:rsidRDefault="00000000">
            <w:pPr>
              <w:spacing w:after="40"/>
              <w:jc w:val="center"/>
              <w:rPr>
                <w:rFonts w:ascii="Times New Roman" w:hAnsi="Times New Roman" w:cs="Times New Roman"/>
              </w:rPr>
            </w:pPr>
            <w:r w:rsidRPr="00BA5B62">
              <w:rPr>
                <w:rFonts w:ascii="Times New Roman" w:hAnsi="Times New Roman" w:cs="Times New Roman"/>
                <w:b/>
                <w:bCs/>
                <w:color w:val="11284B"/>
                <w:sz w:val="21"/>
                <w:szCs w:val="21"/>
              </w:rPr>
              <w:t>SEWP VI Program Support</w:t>
            </w:r>
          </w:p>
          <w:p w14:paraId="23B74DD9" w14:textId="77777777" w:rsidR="00DD05DB" w:rsidRPr="00BA5B62" w:rsidRDefault="00000000">
            <w:pPr>
              <w:spacing w:after="130"/>
              <w:jc w:val="center"/>
              <w:rPr>
                <w:rFonts w:ascii="Times New Roman" w:hAnsi="Times New Roman" w:cs="Times New Roman"/>
              </w:rPr>
            </w:pPr>
            <w:r w:rsidRPr="00BA5B62">
              <w:rPr>
                <w:rFonts w:ascii="Times New Roman" w:hAnsi="Times New Roman" w:cs="Times New Roman"/>
                <w:b/>
                <w:bCs/>
                <w:color w:val="5A5A5A"/>
                <w:sz w:val="18"/>
                <w:szCs w:val="18"/>
              </w:rPr>
              <w:t>Order Issues and Post-Delivery Contacts</w:t>
            </w:r>
          </w:p>
          <w:p w14:paraId="4A325679"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20"/>
                <w:szCs w:val="20"/>
              </w:rPr>
              <w:t>Sara Cinotti</w:t>
            </w:r>
          </w:p>
          <w:p w14:paraId="082C353B"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18"/>
                <w:szCs w:val="18"/>
              </w:rPr>
              <w:t>SEWP Program Manager</w:t>
            </w:r>
          </w:p>
          <w:p w14:paraId="2302C0AC" w14:textId="77777777" w:rsidR="00DD05DB" w:rsidRPr="00BA5B62" w:rsidRDefault="00DD05DB">
            <w:pPr>
              <w:spacing w:after="20"/>
              <w:jc w:val="center"/>
              <w:rPr>
                <w:rFonts w:ascii="Times New Roman" w:hAnsi="Times New Roman" w:cs="Times New Roman"/>
              </w:rPr>
            </w:pPr>
            <w:hyperlink r:id="rId7" w:history="1">
              <w:r w:rsidRPr="00BA5B62">
                <w:rPr>
                  <w:rFonts w:ascii="Times New Roman" w:hAnsi="Times New Roman" w:cs="Times New Roman"/>
                  <w:color w:val="1F6FB2"/>
                  <w:sz w:val="18"/>
                  <w:szCs w:val="18"/>
                  <w:u w:val="single"/>
                </w:rPr>
                <w:t>Sara.cinotti@tryfacta.com</w:t>
              </w:r>
            </w:hyperlink>
          </w:p>
          <w:p w14:paraId="3BA64EB7" w14:textId="3075DC02" w:rsidR="00DD05DB" w:rsidRPr="00BA5B62" w:rsidRDefault="00C03B2E">
            <w:pPr>
              <w:spacing w:after="150"/>
              <w:jc w:val="center"/>
              <w:rPr>
                <w:rFonts w:ascii="Times New Roman" w:hAnsi="Times New Roman" w:cs="Times New Roman"/>
              </w:rPr>
            </w:pPr>
            <w:r>
              <w:rPr>
                <w:rFonts w:ascii="Times New Roman" w:hAnsi="Times New Roman" w:cs="Times New Roman"/>
                <w:sz w:val="18"/>
                <w:szCs w:val="18"/>
              </w:rPr>
              <w:t>(</w:t>
            </w:r>
            <w:r w:rsidR="00000000" w:rsidRPr="00BA5B62">
              <w:rPr>
                <w:rFonts w:ascii="Times New Roman" w:hAnsi="Times New Roman" w:cs="Times New Roman"/>
                <w:sz w:val="18"/>
                <w:szCs w:val="18"/>
              </w:rPr>
              <w:t>703</w:t>
            </w:r>
            <w:r>
              <w:rPr>
                <w:rFonts w:ascii="Times New Roman" w:hAnsi="Times New Roman" w:cs="Times New Roman"/>
                <w:sz w:val="18"/>
                <w:szCs w:val="18"/>
              </w:rPr>
              <w:t xml:space="preserve">) </w:t>
            </w:r>
            <w:r w:rsidR="00000000" w:rsidRPr="00BA5B62">
              <w:rPr>
                <w:rFonts w:ascii="Times New Roman" w:hAnsi="Times New Roman" w:cs="Times New Roman"/>
                <w:sz w:val="18"/>
                <w:szCs w:val="18"/>
              </w:rPr>
              <w:t>977</w:t>
            </w:r>
            <w:r>
              <w:rPr>
                <w:rFonts w:ascii="Times New Roman" w:hAnsi="Times New Roman" w:cs="Times New Roman"/>
                <w:sz w:val="18"/>
                <w:szCs w:val="18"/>
              </w:rPr>
              <w:t>-</w:t>
            </w:r>
            <w:r w:rsidR="00000000" w:rsidRPr="00BA5B62">
              <w:rPr>
                <w:rFonts w:ascii="Times New Roman" w:hAnsi="Times New Roman" w:cs="Times New Roman"/>
                <w:sz w:val="18"/>
                <w:szCs w:val="18"/>
              </w:rPr>
              <w:t>1177</w:t>
            </w:r>
          </w:p>
          <w:p w14:paraId="7626A036"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20"/>
                <w:szCs w:val="20"/>
              </w:rPr>
              <w:t>Jatin Khanna</w:t>
            </w:r>
          </w:p>
          <w:p w14:paraId="42DD40BC" w14:textId="77777777" w:rsidR="00DD05DB" w:rsidRPr="00BA5B62" w:rsidRDefault="00000000">
            <w:pPr>
              <w:spacing w:after="20"/>
              <w:jc w:val="center"/>
              <w:rPr>
                <w:rFonts w:ascii="Times New Roman" w:hAnsi="Times New Roman" w:cs="Times New Roman"/>
              </w:rPr>
            </w:pPr>
            <w:r w:rsidRPr="00BA5B62">
              <w:rPr>
                <w:rFonts w:ascii="Times New Roman" w:hAnsi="Times New Roman" w:cs="Times New Roman"/>
                <w:sz w:val="18"/>
                <w:szCs w:val="18"/>
              </w:rPr>
              <w:t>SEWP Deputy Program Manager</w:t>
            </w:r>
          </w:p>
          <w:p w14:paraId="3D0955B9" w14:textId="77777777" w:rsidR="00DD05DB" w:rsidRPr="00BA5B62" w:rsidRDefault="00DD05DB">
            <w:pPr>
              <w:spacing w:after="20"/>
              <w:jc w:val="center"/>
              <w:rPr>
                <w:rFonts w:ascii="Times New Roman" w:hAnsi="Times New Roman" w:cs="Times New Roman"/>
              </w:rPr>
            </w:pPr>
            <w:hyperlink r:id="rId8" w:history="1">
              <w:r w:rsidRPr="00BA5B62">
                <w:rPr>
                  <w:rFonts w:ascii="Times New Roman" w:hAnsi="Times New Roman" w:cs="Times New Roman"/>
                  <w:color w:val="1F6FB2"/>
                  <w:sz w:val="18"/>
                  <w:szCs w:val="18"/>
                  <w:u w:val="single"/>
                </w:rPr>
                <w:t>Jatin.khanna@tryfacta.com</w:t>
              </w:r>
            </w:hyperlink>
          </w:p>
          <w:p w14:paraId="2A2A637D" w14:textId="77777777" w:rsidR="00DD05DB" w:rsidRPr="00BA5B62" w:rsidRDefault="00000000">
            <w:pPr>
              <w:spacing w:after="190"/>
              <w:jc w:val="center"/>
              <w:rPr>
                <w:rFonts w:ascii="Times New Roman" w:hAnsi="Times New Roman" w:cs="Times New Roman"/>
              </w:rPr>
            </w:pPr>
            <w:r w:rsidRPr="00BA5B62">
              <w:rPr>
                <w:rFonts w:ascii="Times New Roman" w:hAnsi="Times New Roman" w:cs="Times New Roman"/>
                <w:sz w:val="18"/>
                <w:szCs w:val="18"/>
              </w:rPr>
              <w:t>(571) 424-4441</w:t>
            </w:r>
          </w:p>
          <w:tbl>
            <w:tblPr>
              <w:tblW w:w="100" w:type="auto"/>
              <w:tblBorders>
                <w:top w:val="single" w:sz="8" w:space="0" w:color="C9A227"/>
                <w:left w:val="single" w:sz="8" w:space="0" w:color="C9A227"/>
                <w:bottom w:val="single" w:sz="8" w:space="0" w:color="C9A227"/>
                <w:right w:val="single" w:sz="8" w:space="0" w:color="C9A22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00"/>
            </w:tblGrid>
            <w:tr w:rsidR="00DD05DB" w:rsidRPr="00BA5B62" w14:paraId="0EB31E63" w14:textId="77777777">
              <w:tc>
                <w:tcPr>
                  <w:tcW w:w="3500" w:type="dxa"/>
                  <w:shd w:val="clear" w:color="auto" w:fill="FFFFFF"/>
                  <w:tcMar>
                    <w:top w:w="120" w:type="dxa"/>
                    <w:left w:w="150" w:type="dxa"/>
                    <w:bottom w:w="120" w:type="dxa"/>
                    <w:right w:w="150" w:type="dxa"/>
                  </w:tcMar>
                </w:tcPr>
                <w:p w14:paraId="37377E9D" w14:textId="77777777" w:rsidR="00DD05DB" w:rsidRPr="00BA5B62" w:rsidRDefault="00000000">
                  <w:pPr>
                    <w:spacing w:after="90"/>
                    <w:jc w:val="center"/>
                    <w:rPr>
                      <w:rFonts w:ascii="Times New Roman" w:hAnsi="Times New Roman" w:cs="Times New Roman"/>
                    </w:rPr>
                  </w:pPr>
                  <w:r w:rsidRPr="00BA5B62">
                    <w:rPr>
                      <w:rFonts w:ascii="Times New Roman" w:hAnsi="Times New Roman" w:cs="Times New Roman"/>
                      <w:b/>
                      <w:bCs/>
                      <w:color w:val="11284B"/>
                      <w:sz w:val="20"/>
                      <w:szCs w:val="20"/>
                    </w:rPr>
                    <w:t>SEWP Helpline</w:t>
                  </w:r>
                </w:p>
                <w:p w14:paraId="67011C75" w14:textId="77777777" w:rsidR="00DD05DB" w:rsidRPr="00BA5B62" w:rsidRDefault="00DD05DB">
                  <w:pPr>
                    <w:spacing w:after="20"/>
                    <w:jc w:val="center"/>
                    <w:rPr>
                      <w:rFonts w:ascii="Times New Roman" w:hAnsi="Times New Roman" w:cs="Times New Roman"/>
                    </w:rPr>
                  </w:pPr>
                  <w:hyperlink r:id="rId9" w:history="1">
                    <w:r w:rsidRPr="00BA5B62">
                      <w:rPr>
                        <w:rFonts w:ascii="Times New Roman" w:hAnsi="Times New Roman" w:cs="Times New Roman"/>
                        <w:color w:val="1F6FB2"/>
                        <w:sz w:val="18"/>
                        <w:szCs w:val="18"/>
                        <w:u w:val="single"/>
                      </w:rPr>
                      <w:t>help@sewp.nasa.gov</w:t>
                    </w:r>
                  </w:hyperlink>
                </w:p>
                <w:p w14:paraId="30ADA306" w14:textId="77777777" w:rsidR="00DD05DB" w:rsidRPr="00BA5B62" w:rsidRDefault="00000000">
                  <w:pPr>
                    <w:spacing w:after="60"/>
                    <w:jc w:val="center"/>
                    <w:rPr>
                      <w:rFonts w:ascii="Times New Roman" w:hAnsi="Times New Roman" w:cs="Times New Roman"/>
                    </w:rPr>
                  </w:pPr>
                  <w:r w:rsidRPr="00BA5B62">
                    <w:rPr>
                      <w:rFonts w:ascii="Times New Roman" w:hAnsi="Times New Roman" w:cs="Times New Roman"/>
                      <w:sz w:val="18"/>
                      <w:szCs w:val="18"/>
                    </w:rPr>
                    <w:t>(301) 286-1478</w:t>
                  </w:r>
                </w:p>
                <w:p w14:paraId="1053F3F3" w14:textId="77777777" w:rsidR="00DD05DB" w:rsidRPr="00BA5B62" w:rsidRDefault="00000000">
                  <w:pPr>
                    <w:spacing w:after="16"/>
                    <w:jc w:val="center"/>
                    <w:rPr>
                      <w:rFonts w:ascii="Times New Roman" w:hAnsi="Times New Roman" w:cs="Times New Roman"/>
                    </w:rPr>
                  </w:pPr>
                  <w:r w:rsidRPr="00BA5B62">
                    <w:rPr>
                      <w:rFonts w:ascii="Times New Roman" w:hAnsi="Times New Roman" w:cs="Times New Roman"/>
                      <w:sz w:val="18"/>
                      <w:szCs w:val="18"/>
                    </w:rPr>
                    <w:t>SEWP PMO Hours:</w:t>
                  </w:r>
                </w:p>
                <w:p w14:paraId="7FC271C9" w14:textId="77777777" w:rsidR="00DD05DB" w:rsidRPr="00BA5B62" w:rsidRDefault="00000000">
                  <w:pPr>
                    <w:spacing w:after="60"/>
                    <w:jc w:val="center"/>
                    <w:rPr>
                      <w:rFonts w:ascii="Times New Roman" w:hAnsi="Times New Roman" w:cs="Times New Roman"/>
                    </w:rPr>
                  </w:pPr>
                  <w:r w:rsidRPr="00BA5B62">
                    <w:rPr>
                      <w:rFonts w:ascii="Times New Roman" w:hAnsi="Times New Roman" w:cs="Times New Roman"/>
                      <w:sz w:val="18"/>
                      <w:szCs w:val="18"/>
                    </w:rPr>
                    <w:t>M-F, 7:30 AM – 6 PM (ET)</w:t>
                  </w:r>
                </w:p>
                <w:p w14:paraId="61943B48" w14:textId="77777777" w:rsidR="00DD05DB" w:rsidRPr="00BA5B62" w:rsidRDefault="00000000">
                  <w:pPr>
                    <w:jc w:val="center"/>
                    <w:rPr>
                      <w:rFonts w:ascii="Times New Roman" w:hAnsi="Times New Roman" w:cs="Times New Roman"/>
                    </w:rPr>
                  </w:pPr>
                  <w:r w:rsidRPr="00BA5B62">
                    <w:rPr>
                      <w:rFonts w:ascii="Times New Roman" w:hAnsi="Times New Roman" w:cs="Times New Roman"/>
                      <w:color w:val="1F6FB2"/>
                      <w:sz w:val="18"/>
                      <w:szCs w:val="18"/>
                    </w:rPr>
                    <w:t>www.sewp.nasa.gov</w:t>
                  </w:r>
                </w:p>
              </w:tc>
            </w:tr>
          </w:tbl>
          <w:p w14:paraId="08A17EA8" w14:textId="77777777" w:rsidR="00DD05DB" w:rsidRPr="00BA5B62" w:rsidRDefault="00DD05DB">
            <w:pPr>
              <w:rPr>
                <w:rFonts w:ascii="Times New Roman" w:hAnsi="Times New Roman" w:cs="Times New Roman"/>
              </w:rPr>
            </w:pPr>
          </w:p>
        </w:tc>
      </w:tr>
    </w:tbl>
    <w:p w14:paraId="18007167" w14:textId="77777777" w:rsidR="00DD05DB" w:rsidRPr="00BA5B62" w:rsidRDefault="00DD05DB">
      <w:pPr>
        <w:pageBreakBefore/>
        <w:rPr>
          <w:rFonts w:ascii="Times New Roman" w:hAnsi="Times New Roman" w:cs="Times New Roman"/>
        </w:rPr>
      </w:pPr>
    </w:p>
    <w:p w14:paraId="640B49F8" w14:textId="77777777" w:rsidR="00DD05DB" w:rsidRPr="00BA5B62" w:rsidRDefault="00000000">
      <w:pPr>
        <w:pStyle w:val="Heading1"/>
        <w:keepNext/>
        <w:pBdr>
          <w:bottom w:val="single" w:sz="10" w:space="6" w:color="C9A227"/>
        </w:pBdr>
        <w:spacing w:before="300" w:after="160"/>
        <w:rPr>
          <w:rFonts w:ascii="Times New Roman" w:hAnsi="Times New Roman" w:cs="Times New Roman"/>
        </w:rPr>
      </w:pPr>
      <w:r w:rsidRPr="00BA5B62">
        <w:rPr>
          <w:rFonts w:ascii="Times New Roman" w:hAnsi="Times New Roman" w:cs="Times New Roman"/>
          <w:spacing w:val="10"/>
        </w:rPr>
        <w:t>WHAT'S IN SCOPE FOR SEWP VI?</w:t>
      </w:r>
    </w:p>
    <w:p w14:paraId="202188DC" w14:textId="4FF272C5"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SEWP is designed to provide a broad suite of Information Technology, Communication and Audio Visual (ITC / AV) solutions and services. Technology is </w:t>
      </w:r>
      <w:proofErr w:type="gramStart"/>
      <w:r w:rsidRPr="00BA5B62">
        <w:rPr>
          <w:rFonts w:ascii="Times New Roman" w:hAnsi="Times New Roman" w:cs="Times New Roman"/>
        </w:rPr>
        <w:t>ever-evolving</w:t>
      </w:r>
      <w:proofErr w:type="gramEnd"/>
      <w:r w:rsidR="00BA5B62" w:rsidRPr="00BA5B62">
        <w:rPr>
          <w:rFonts w:ascii="Times New Roman" w:hAnsi="Times New Roman" w:cs="Times New Roman"/>
        </w:rPr>
        <w:t>,</w:t>
      </w:r>
      <w:r w:rsidRPr="00BA5B62">
        <w:rPr>
          <w:rFonts w:ascii="Times New Roman" w:hAnsi="Times New Roman" w:cs="Times New Roman"/>
        </w:rPr>
        <w:t xml:space="preserve"> and for that reason SEWP's processes enable our Contract Holders to add new commercial technology and IT services to their contract daily, as requested by our customers. </w:t>
      </w:r>
      <w:r w:rsidR="00BA5B62" w:rsidRPr="00BA5B62">
        <w:rPr>
          <w:rFonts w:ascii="Times New Roman" w:hAnsi="Times New Roman" w:cs="Times New Roman"/>
        </w:rPr>
        <w:t>SEWP focuses on a full suite of technology offerings that simplify Government</w:t>
      </w:r>
      <w:r w:rsidRPr="00BA5B62">
        <w:rPr>
          <w:rFonts w:ascii="Times New Roman" w:hAnsi="Times New Roman" w:cs="Times New Roman"/>
        </w:rPr>
        <w:t xml:space="preserve"> access </w:t>
      </w:r>
      <w:r w:rsidR="00BA5B62" w:rsidRPr="00BA5B62">
        <w:rPr>
          <w:rFonts w:ascii="Times New Roman" w:hAnsi="Times New Roman" w:cs="Times New Roman"/>
        </w:rPr>
        <w:t>to industry</w:t>
      </w:r>
      <w:r w:rsidRPr="00BA5B62">
        <w:rPr>
          <w:rFonts w:ascii="Times New Roman" w:hAnsi="Times New Roman" w:cs="Times New Roman"/>
        </w:rPr>
        <w:t xml:space="preserve"> offerings across the entire ITC/AV solutions and services landscape. SEWP is composed of three (3) scope categories detailed below. If you would like SEWP to determine </w:t>
      </w:r>
      <w:r w:rsidR="00BA5B62" w:rsidRPr="00BA5B62">
        <w:rPr>
          <w:rFonts w:ascii="Times New Roman" w:hAnsi="Times New Roman" w:cs="Times New Roman"/>
        </w:rPr>
        <w:t>whether your requirement is within the scope of the SEWP VI contract, please send an overview and/or bill of materials (BOM) to help@sewp.nasa.gov,</w:t>
      </w:r>
      <w:r w:rsidRPr="00BA5B62">
        <w:rPr>
          <w:rFonts w:ascii="Times New Roman" w:hAnsi="Times New Roman" w:cs="Times New Roman"/>
        </w:rPr>
        <w:t xml:space="preserve"> and we will quickly review and provide feedback.</w:t>
      </w:r>
    </w:p>
    <w:p w14:paraId="418C2AA0" w14:textId="1587E7CD"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SEWP Contracts were awarded by scope category</w:t>
      </w:r>
      <w:r w:rsidR="00BA5B62" w:rsidRPr="00BA5B62">
        <w:rPr>
          <w:rFonts w:ascii="Times New Roman" w:hAnsi="Times New Roman" w:cs="Times New Roman"/>
        </w:rPr>
        <w:t>;</w:t>
      </w:r>
      <w:r w:rsidRPr="00BA5B62">
        <w:rPr>
          <w:rFonts w:ascii="Times New Roman" w:hAnsi="Times New Roman" w:cs="Times New Roman"/>
        </w:rPr>
        <w:t xml:space="preserve"> the three categories are:</w:t>
      </w:r>
    </w:p>
    <w:p w14:paraId="394C19A3"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b/>
          <w:bCs/>
        </w:rPr>
        <w:t>Category A - ITC/AV Solutions</w:t>
      </w:r>
    </w:p>
    <w:p w14:paraId="37805011"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b/>
          <w:bCs/>
        </w:rPr>
        <w:t>Category B - Enterprise-Wide ITC/AV Service Solutions</w:t>
      </w:r>
    </w:p>
    <w:p w14:paraId="508C6B73"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b/>
          <w:bCs/>
        </w:rPr>
        <w:t>Category C - Mission-Based ITC/AV Service Solutions</w:t>
      </w:r>
    </w:p>
    <w:p w14:paraId="3602FB5C" w14:textId="77777777" w:rsidR="00DD05DB" w:rsidRPr="00BA5B62" w:rsidRDefault="00DD05DB">
      <w:pPr>
        <w:spacing w:after="180"/>
        <w:rPr>
          <w:rFonts w:ascii="Times New Roman" w:hAnsi="Times New Roman" w:cs="Times New Roman"/>
        </w:rPr>
      </w:pP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3200"/>
        <w:gridCol w:w="3200"/>
      </w:tblGrid>
      <w:tr w:rsidR="00DD05DB" w:rsidRPr="00BA5B62" w14:paraId="70754CE6" w14:textId="77777777" w:rsidTr="003907CB">
        <w:tc>
          <w:tcPr>
            <w:tcW w:w="3200" w:type="dxa"/>
            <w:shd w:val="clear" w:color="auto" w:fill="A5C9EB" w:themeFill="text2" w:themeFillTint="40"/>
            <w:tcMar>
              <w:top w:w="90" w:type="dxa"/>
              <w:left w:w="80" w:type="dxa"/>
              <w:bottom w:w="90" w:type="dxa"/>
              <w:right w:w="80" w:type="dxa"/>
            </w:tcMar>
          </w:tcPr>
          <w:p w14:paraId="2B71D76F" w14:textId="77777777" w:rsidR="00DD05DB" w:rsidRPr="00BA5B62" w:rsidRDefault="00000000">
            <w:pPr>
              <w:jc w:val="center"/>
              <w:rPr>
                <w:rFonts w:ascii="Times New Roman" w:hAnsi="Times New Roman" w:cs="Times New Roman"/>
              </w:rPr>
            </w:pPr>
            <w:r w:rsidRPr="00126C18">
              <w:rPr>
                <w:rFonts w:ascii="Times New Roman" w:hAnsi="Times New Roman" w:cs="Times New Roman"/>
                <w:b/>
                <w:bCs/>
                <w:color w:val="1A1A1A"/>
                <w:spacing w:val="10"/>
                <w:sz w:val="18"/>
                <w:szCs w:val="18"/>
              </w:rPr>
              <w:t>CATEGORY A</w:t>
            </w:r>
          </w:p>
        </w:tc>
        <w:tc>
          <w:tcPr>
            <w:tcW w:w="3200" w:type="dxa"/>
            <w:shd w:val="clear" w:color="auto" w:fill="A5C9EB" w:themeFill="text2" w:themeFillTint="40"/>
            <w:tcMar>
              <w:top w:w="90" w:type="dxa"/>
              <w:left w:w="80" w:type="dxa"/>
              <w:bottom w:w="90" w:type="dxa"/>
              <w:right w:w="80" w:type="dxa"/>
            </w:tcMar>
          </w:tcPr>
          <w:p w14:paraId="49627D17" w14:textId="77777777" w:rsidR="00DD05DB" w:rsidRPr="00BA5B62" w:rsidRDefault="00000000">
            <w:pPr>
              <w:jc w:val="center"/>
              <w:rPr>
                <w:rFonts w:ascii="Times New Roman" w:hAnsi="Times New Roman" w:cs="Times New Roman"/>
              </w:rPr>
            </w:pPr>
            <w:r w:rsidRPr="00126C18">
              <w:rPr>
                <w:rFonts w:ascii="Times New Roman" w:hAnsi="Times New Roman" w:cs="Times New Roman"/>
                <w:b/>
                <w:bCs/>
                <w:color w:val="FFFFFF" w:themeColor="background1"/>
                <w:spacing w:val="10"/>
                <w:sz w:val="18"/>
                <w:szCs w:val="18"/>
              </w:rPr>
              <w:t>CATEGORY B</w:t>
            </w:r>
          </w:p>
        </w:tc>
        <w:tc>
          <w:tcPr>
            <w:tcW w:w="3200" w:type="dxa"/>
            <w:shd w:val="clear" w:color="auto" w:fill="A5C9EB" w:themeFill="text2" w:themeFillTint="40"/>
            <w:tcMar>
              <w:top w:w="90" w:type="dxa"/>
              <w:left w:w="80" w:type="dxa"/>
              <w:bottom w:w="90" w:type="dxa"/>
              <w:right w:w="80" w:type="dxa"/>
            </w:tcMar>
          </w:tcPr>
          <w:p w14:paraId="6265A4EF" w14:textId="77777777" w:rsidR="00DD05DB" w:rsidRPr="00BA5B62" w:rsidRDefault="00000000">
            <w:pPr>
              <w:jc w:val="center"/>
              <w:rPr>
                <w:rFonts w:ascii="Times New Roman" w:hAnsi="Times New Roman" w:cs="Times New Roman"/>
              </w:rPr>
            </w:pPr>
            <w:r w:rsidRPr="00BA5B62">
              <w:rPr>
                <w:rFonts w:ascii="Times New Roman" w:hAnsi="Times New Roman" w:cs="Times New Roman"/>
                <w:b/>
                <w:bCs/>
                <w:color w:val="FFFFFF"/>
                <w:spacing w:val="10"/>
                <w:sz w:val="18"/>
                <w:szCs w:val="18"/>
              </w:rPr>
              <w:t>CATEGORY C</w:t>
            </w:r>
          </w:p>
        </w:tc>
      </w:tr>
      <w:tr w:rsidR="00DD05DB" w:rsidRPr="00BA5B62" w14:paraId="49E8E432" w14:textId="77777777">
        <w:tc>
          <w:tcPr>
            <w:tcW w:w="3200" w:type="dxa"/>
            <w:tcBorders>
              <w:top w:val="none" w:sz="0" w:space="0" w:color="FFFFFF"/>
              <w:left w:val="single" w:sz="6" w:space="0" w:color="C3CEDB"/>
              <w:bottom w:val="single" w:sz="6" w:space="0" w:color="C3CEDB"/>
              <w:right w:val="single" w:sz="6" w:space="0" w:color="C3CEDB"/>
            </w:tcBorders>
            <w:tcMar>
              <w:top w:w="110" w:type="dxa"/>
              <w:left w:w="90" w:type="dxa"/>
              <w:bottom w:w="110" w:type="dxa"/>
              <w:right w:w="90" w:type="dxa"/>
            </w:tcMar>
          </w:tcPr>
          <w:p w14:paraId="5F13F8DB" w14:textId="77777777" w:rsidR="00DD05DB" w:rsidRPr="00BA5B62" w:rsidRDefault="00000000">
            <w:pPr>
              <w:jc w:val="center"/>
              <w:rPr>
                <w:rFonts w:ascii="Times New Roman" w:hAnsi="Times New Roman" w:cs="Times New Roman"/>
              </w:rPr>
            </w:pPr>
            <w:r w:rsidRPr="00BA5B62">
              <w:rPr>
                <w:rFonts w:ascii="Times New Roman" w:hAnsi="Times New Roman" w:cs="Times New Roman"/>
                <w:sz w:val="17"/>
                <w:szCs w:val="17"/>
              </w:rPr>
              <w:t>ITC/AV (Information Technology, Communications, and Audio-Visual Solutions)</w:t>
            </w:r>
          </w:p>
        </w:tc>
        <w:tc>
          <w:tcPr>
            <w:tcW w:w="3200" w:type="dxa"/>
            <w:tcBorders>
              <w:top w:val="none" w:sz="0" w:space="0" w:color="FFFFFF"/>
              <w:left w:val="single" w:sz="6" w:space="0" w:color="C3CEDB"/>
              <w:bottom w:val="single" w:sz="6" w:space="0" w:color="C3CEDB"/>
              <w:right w:val="single" w:sz="6" w:space="0" w:color="C3CEDB"/>
            </w:tcBorders>
            <w:tcMar>
              <w:top w:w="110" w:type="dxa"/>
              <w:left w:w="90" w:type="dxa"/>
              <w:bottom w:w="110" w:type="dxa"/>
              <w:right w:w="90" w:type="dxa"/>
            </w:tcMar>
          </w:tcPr>
          <w:p w14:paraId="1C3ED994" w14:textId="77777777" w:rsidR="00DD05DB" w:rsidRPr="00BA5B62" w:rsidRDefault="00000000">
            <w:pPr>
              <w:spacing w:after="40"/>
              <w:jc w:val="center"/>
              <w:rPr>
                <w:rFonts w:ascii="Times New Roman" w:hAnsi="Times New Roman" w:cs="Times New Roman"/>
              </w:rPr>
            </w:pPr>
            <w:r w:rsidRPr="00BA5B62">
              <w:rPr>
                <w:rFonts w:ascii="Times New Roman" w:hAnsi="Times New Roman" w:cs="Times New Roman"/>
                <w:sz w:val="17"/>
                <w:szCs w:val="17"/>
              </w:rPr>
              <w:t>Enterprise-Wide ITC/AV Service Solutions</w:t>
            </w:r>
          </w:p>
          <w:p w14:paraId="322DCB72" w14:textId="77777777" w:rsidR="00DD05DB" w:rsidRPr="00BA5B62" w:rsidRDefault="00000000">
            <w:pPr>
              <w:jc w:val="center"/>
              <w:rPr>
                <w:rFonts w:ascii="Times New Roman" w:hAnsi="Times New Roman" w:cs="Times New Roman"/>
              </w:rPr>
            </w:pPr>
            <w:r w:rsidRPr="00BA5B62">
              <w:rPr>
                <w:rFonts w:ascii="Times New Roman" w:hAnsi="Times New Roman" w:cs="Times New Roman"/>
                <w:b/>
                <w:bCs/>
                <w:color w:val="4E8B1F"/>
                <w:sz w:val="15"/>
                <w:szCs w:val="15"/>
              </w:rPr>
              <w:t>Held by Tryfacta</w:t>
            </w:r>
          </w:p>
        </w:tc>
        <w:tc>
          <w:tcPr>
            <w:tcW w:w="3200" w:type="dxa"/>
            <w:tcBorders>
              <w:top w:val="none" w:sz="0" w:space="0" w:color="FFFFFF"/>
              <w:left w:val="single" w:sz="6" w:space="0" w:color="C3CEDB"/>
              <w:bottom w:val="single" w:sz="6" w:space="0" w:color="C3CEDB"/>
              <w:right w:val="single" w:sz="6" w:space="0" w:color="C3CEDB"/>
            </w:tcBorders>
            <w:tcMar>
              <w:top w:w="110" w:type="dxa"/>
              <w:left w:w="90" w:type="dxa"/>
              <w:bottom w:w="110" w:type="dxa"/>
              <w:right w:w="90" w:type="dxa"/>
            </w:tcMar>
          </w:tcPr>
          <w:p w14:paraId="21E2B599" w14:textId="77777777" w:rsidR="00DD05DB" w:rsidRPr="00BA5B62" w:rsidRDefault="00000000">
            <w:pPr>
              <w:spacing w:after="40"/>
              <w:jc w:val="center"/>
              <w:rPr>
                <w:rFonts w:ascii="Times New Roman" w:hAnsi="Times New Roman" w:cs="Times New Roman"/>
              </w:rPr>
            </w:pPr>
            <w:r w:rsidRPr="00BA5B62">
              <w:rPr>
                <w:rFonts w:ascii="Times New Roman" w:hAnsi="Times New Roman" w:cs="Times New Roman"/>
                <w:sz w:val="17"/>
                <w:szCs w:val="17"/>
              </w:rPr>
              <w:t>ITC/AV Mission-Based Services</w:t>
            </w:r>
          </w:p>
          <w:p w14:paraId="115D789D" w14:textId="77777777" w:rsidR="00DD05DB" w:rsidRPr="00BA5B62" w:rsidRDefault="00000000">
            <w:pPr>
              <w:jc w:val="center"/>
              <w:rPr>
                <w:rFonts w:ascii="Times New Roman" w:hAnsi="Times New Roman" w:cs="Times New Roman"/>
              </w:rPr>
            </w:pPr>
            <w:r w:rsidRPr="00BA5B62">
              <w:rPr>
                <w:rFonts w:ascii="Times New Roman" w:hAnsi="Times New Roman" w:cs="Times New Roman"/>
                <w:b/>
                <w:bCs/>
                <w:color w:val="4E8B1F"/>
                <w:sz w:val="15"/>
                <w:szCs w:val="15"/>
              </w:rPr>
              <w:t>Held by Tryfacta</w:t>
            </w:r>
          </w:p>
        </w:tc>
      </w:tr>
    </w:tbl>
    <w:p w14:paraId="06871EBF" w14:textId="77777777" w:rsidR="00DD05DB" w:rsidRPr="00BA5B62" w:rsidRDefault="00DD05DB">
      <w:pPr>
        <w:spacing w:after="240"/>
        <w:rPr>
          <w:rFonts w:ascii="Times New Roman" w:hAnsi="Times New Roman" w:cs="Times New Roman"/>
        </w:rPr>
      </w:pPr>
    </w:p>
    <w:p w14:paraId="08B32AEE"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CATEGORY B — ENTERPRISE-WIDE ITC/AV SERVICE SOLUTIONS</w:t>
      </w:r>
    </w:p>
    <w:p w14:paraId="5C82A003"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b/>
          <w:bCs/>
          <w:color w:val="1F6FB2"/>
          <w:sz w:val="18"/>
          <w:szCs w:val="18"/>
        </w:rPr>
        <w:t>Contract 80TECH26D</w:t>
      </w:r>
      <w:proofErr w:type="gramStart"/>
      <w:r w:rsidRPr="00BA5B62">
        <w:rPr>
          <w:rFonts w:ascii="Times New Roman" w:hAnsi="Times New Roman" w:cs="Times New Roman"/>
          <w:b/>
          <w:bCs/>
          <w:color w:val="1F6FB2"/>
          <w:sz w:val="18"/>
          <w:szCs w:val="18"/>
        </w:rPr>
        <w:t>1353  ·</w:t>
      </w:r>
      <w:proofErr w:type="gramEnd"/>
      <w:r w:rsidRPr="00BA5B62">
        <w:rPr>
          <w:rFonts w:ascii="Times New Roman" w:hAnsi="Times New Roman" w:cs="Times New Roman"/>
          <w:b/>
          <w:bCs/>
          <w:color w:val="1F6FB2"/>
          <w:sz w:val="18"/>
          <w:szCs w:val="18"/>
        </w:rPr>
        <w:t xml:space="preserve">  NAICS </w:t>
      </w:r>
      <w:proofErr w:type="gramStart"/>
      <w:r w:rsidRPr="00BA5B62">
        <w:rPr>
          <w:rFonts w:ascii="Times New Roman" w:hAnsi="Times New Roman" w:cs="Times New Roman"/>
          <w:b/>
          <w:bCs/>
          <w:color w:val="1F6FB2"/>
          <w:sz w:val="18"/>
          <w:szCs w:val="18"/>
        </w:rPr>
        <w:t>541512  ·</w:t>
      </w:r>
      <w:proofErr w:type="gramEnd"/>
      <w:r w:rsidRPr="00BA5B62">
        <w:rPr>
          <w:rFonts w:ascii="Times New Roman" w:hAnsi="Times New Roman" w:cs="Times New Roman"/>
          <w:b/>
          <w:bCs/>
          <w:color w:val="1F6FB2"/>
          <w:sz w:val="18"/>
          <w:szCs w:val="18"/>
        </w:rPr>
        <w:t xml:space="preserve">  Group B2 – Small Business Set Aside</w:t>
      </w:r>
    </w:p>
    <w:p w14:paraId="1A416BBC" w14:textId="02CAB1EF"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The Category B scope provides Federal agencies with customized Enterprise-Wide Strategic Solutions. Enterprise-wide is defined as a large-scale requirement involving multiple departments, locations, customers, and/or field offices for a given agency. These Enterprise-Wide Strategic Solutions improve and enhance the Agency ICT/AV infrastructure through methodologies including managed services such as computer or printer services; and shared services such as Agency-wide help desk ticketing systems, enterprise-wide IT security, and application services. Services may be performed at Government and/or Contractor locations worldwide, as specified in each Order. </w:t>
      </w:r>
      <w:r w:rsidR="00BA5B62" w:rsidRPr="00BA5B62">
        <w:rPr>
          <w:rFonts w:ascii="Times New Roman" w:hAnsi="Times New Roman" w:cs="Times New Roman"/>
        </w:rPr>
        <w:t>Product-only</w:t>
      </w:r>
      <w:r w:rsidRPr="00BA5B62">
        <w:rPr>
          <w:rFonts w:ascii="Times New Roman" w:hAnsi="Times New Roman" w:cs="Times New Roman"/>
        </w:rPr>
        <w:t xml:space="preserve"> requirements are not in scope for this category.</w:t>
      </w:r>
    </w:p>
    <w:p w14:paraId="5ACEBA33" w14:textId="15EB7BFD"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The sample list of representative service areas is not meant to be all-inclusive, but </w:t>
      </w:r>
      <w:r w:rsidR="00BA5B62" w:rsidRPr="00BA5B62">
        <w:rPr>
          <w:rFonts w:ascii="Times New Roman" w:hAnsi="Times New Roman" w:cs="Times New Roman"/>
        </w:rPr>
        <w:t>indicates types of in-scope, service-based</w:t>
      </w:r>
      <w:r w:rsidRPr="00BA5B62">
        <w:rPr>
          <w:rFonts w:ascii="Times New Roman" w:hAnsi="Times New Roman" w:cs="Times New Roman"/>
        </w:rPr>
        <w:t xml:space="preserve"> solutions. Other services which adhere to the definition of ITC/AV services and encapsulate an enterprise-wide solution are within scope and may be provided to meet an agency’s particular mission needs. Note that </w:t>
      </w:r>
      <w:r w:rsidR="00BA5B62" w:rsidRPr="00BA5B62">
        <w:rPr>
          <w:rFonts w:ascii="Times New Roman" w:hAnsi="Times New Roman" w:cs="Times New Roman"/>
        </w:rPr>
        <w:t>while the general service areas of Category B services in some cases overlap with Category C, Category B is intended only</w:t>
      </w:r>
      <w:r w:rsidRPr="00BA5B62">
        <w:rPr>
          <w:rFonts w:ascii="Times New Roman" w:hAnsi="Times New Roman" w:cs="Times New Roman"/>
        </w:rPr>
        <w:t xml:space="preserve"> for large agency/enterprise-wide implementations.</w:t>
      </w:r>
    </w:p>
    <w:p w14:paraId="47CA2B7E"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1b: Enterprise-Wide Network Services</w:t>
      </w:r>
    </w:p>
    <w:p w14:paraId="31F34901"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2b: IT Managed Services</w:t>
      </w:r>
    </w:p>
    <w:p w14:paraId="5D448919"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3b: Enterprise-Wide Innovation Services</w:t>
      </w:r>
    </w:p>
    <w:p w14:paraId="294C66D7"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4b: IT Service Management</w:t>
      </w:r>
    </w:p>
    <w:p w14:paraId="73120903"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5b: Enterprise Service Program Integration</w:t>
      </w:r>
    </w:p>
    <w:p w14:paraId="15F0C02A"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6b: Enterprise-Wide Information and Data Analytics</w:t>
      </w:r>
    </w:p>
    <w:p w14:paraId="5008B957"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7b: Enterprise-Wide Application Services/Software Development</w:t>
      </w:r>
    </w:p>
    <w:p w14:paraId="79BB0D47"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8b: Enterprise-Wide Cybersecurity Services</w:t>
      </w:r>
    </w:p>
    <w:p w14:paraId="17F9525C"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9b: Enterprise-Wide Cloud Services</w:t>
      </w:r>
    </w:p>
    <w:p w14:paraId="52D946BF"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10b: Enterprise-Wide Digital Multimedia and Technical Communications Services</w:t>
      </w:r>
    </w:p>
    <w:p w14:paraId="747BF77B"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11b: Program Management/Ancillary Services and Supplies</w:t>
      </w:r>
    </w:p>
    <w:p w14:paraId="52D231AD" w14:textId="50C77EBA" w:rsidR="00DD05DB" w:rsidRPr="00BA5B62" w:rsidRDefault="008D4937">
      <w:pPr>
        <w:pStyle w:val="Heading2"/>
        <w:keepNext/>
        <w:spacing w:before="260" w:after="110"/>
        <w:rPr>
          <w:rFonts w:ascii="Times New Roman" w:hAnsi="Times New Roman" w:cs="Times New Roman"/>
        </w:rPr>
      </w:pPr>
      <w:r w:rsidRPr="008D4937">
        <w:rPr>
          <w:rFonts w:ascii="Times New Roman" w:hAnsi="Times New Roman" w:cs="Times New Roman"/>
          <w:spacing w:val="8"/>
        </w:rPr>
        <w:t>CATEGORY C – MISSION-BASED ITC/AV SERVICE SOLUTIONS</w:t>
      </w:r>
    </w:p>
    <w:p w14:paraId="64C8ADC3"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b/>
          <w:bCs/>
          <w:color w:val="1F6FB2"/>
          <w:sz w:val="18"/>
          <w:szCs w:val="18"/>
        </w:rPr>
        <w:t>Contract 80TECH26D</w:t>
      </w:r>
      <w:proofErr w:type="gramStart"/>
      <w:r w:rsidRPr="00BA5B62">
        <w:rPr>
          <w:rFonts w:ascii="Times New Roman" w:hAnsi="Times New Roman" w:cs="Times New Roman"/>
          <w:b/>
          <w:bCs/>
          <w:color w:val="1F6FB2"/>
          <w:sz w:val="18"/>
          <w:szCs w:val="18"/>
        </w:rPr>
        <w:t>0066  ·</w:t>
      </w:r>
      <w:proofErr w:type="gramEnd"/>
      <w:r w:rsidRPr="00BA5B62">
        <w:rPr>
          <w:rFonts w:ascii="Times New Roman" w:hAnsi="Times New Roman" w:cs="Times New Roman"/>
          <w:b/>
          <w:bCs/>
          <w:color w:val="1F6FB2"/>
          <w:sz w:val="18"/>
          <w:szCs w:val="18"/>
        </w:rPr>
        <w:t xml:space="preserve">  NAICS </w:t>
      </w:r>
      <w:proofErr w:type="gramStart"/>
      <w:r w:rsidRPr="00BA5B62">
        <w:rPr>
          <w:rFonts w:ascii="Times New Roman" w:hAnsi="Times New Roman" w:cs="Times New Roman"/>
          <w:b/>
          <w:bCs/>
          <w:color w:val="1F6FB2"/>
          <w:sz w:val="18"/>
          <w:szCs w:val="18"/>
        </w:rPr>
        <w:t>541512  ·</w:t>
      </w:r>
      <w:proofErr w:type="gramEnd"/>
      <w:r w:rsidRPr="00BA5B62">
        <w:rPr>
          <w:rFonts w:ascii="Times New Roman" w:hAnsi="Times New Roman" w:cs="Times New Roman"/>
          <w:b/>
          <w:bCs/>
          <w:color w:val="1F6FB2"/>
          <w:sz w:val="18"/>
          <w:szCs w:val="18"/>
        </w:rPr>
        <w:t xml:space="preserve">  Group C1 – Small Business Set Aside</w:t>
      </w:r>
    </w:p>
    <w:p w14:paraId="01BEEB9C" w14:textId="7454F732"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lastRenderedPageBreak/>
        <w:t xml:space="preserve">The Category C scope provides Federal agencies with customized Solutions at a Mission/Program level that improve and enhance </w:t>
      </w:r>
      <w:r w:rsidR="00BA5B62" w:rsidRPr="00BA5B62">
        <w:rPr>
          <w:rFonts w:ascii="Times New Roman" w:hAnsi="Times New Roman" w:cs="Times New Roman"/>
        </w:rPr>
        <w:t>an</w:t>
      </w:r>
      <w:r w:rsidRPr="00BA5B62">
        <w:rPr>
          <w:rFonts w:ascii="Times New Roman" w:hAnsi="Times New Roman" w:cs="Times New Roman"/>
        </w:rPr>
        <w:t xml:space="preserve"> ITC/AV infrastructure through methodologies including but not limited to custom computer programming services, telecommunication services including network operations, IT, AV, and </w:t>
      </w:r>
      <w:r w:rsidR="00BA5B62" w:rsidRPr="00BA5B62">
        <w:rPr>
          <w:rFonts w:ascii="Times New Roman" w:hAnsi="Times New Roman" w:cs="Times New Roman"/>
        </w:rPr>
        <w:t>communications-based</w:t>
      </w:r>
      <w:r w:rsidRPr="00BA5B62">
        <w:rPr>
          <w:rFonts w:ascii="Times New Roman" w:hAnsi="Times New Roman" w:cs="Times New Roman"/>
        </w:rPr>
        <w:t xml:space="preserve"> engineering and design services, data processing and analysis services, hosting, and related services, IT and network operation and computer facilities, ITC and AV management services, IT consulting and educational services, digital government services, and cybersecurity and security systems services. Services may be performed at Government and/or Contractor locations worldwide, as specified in each Order. </w:t>
      </w:r>
      <w:r w:rsidR="00BA5B62" w:rsidRPr="00BA5B62">
        <w:rPr>
          <w:rFonts w:ascii="Times New Roman" w:hAnsi="Times New Roman" w:cs="Times New Roman"/>
        </w:rPr>
        <w:t>Product-only</w:t>
      </w:r>
      <w:r w:rsidRPr="00BA5B62">
        <w:rPr>
          <w:rFonts w:ascii="Times New Roman" w:hAnsi="Times New Roman" w:cs="Times New Roman"/>
        </w:rPr>
        <w:t xml:space="preserve"> requirements are not in scope for this category.</w:t>
      </w:r>
    </w:p>
    <w:p w14:paraId="14616404" w14:textId="0DE40596"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The sample list of representative service areas is not meant to be </w:t>
      </w:r>
      <w:proofErr w:type="gramStart"/>
      <w:r w:rsidRPr="00BA5B62">
        <w:rPr>
          <w:rFonts w:ascii="Times New Roman" w:hAnsi="Times New Roman" w:cs="Times New Roman"/>
        </w:rPr>
        <w:t>all-inclusive, but</w:t>
      </w:r>
      <w:proofErr w:type="gramEnd"/>
      <w:r w:rsidRPr="00BA5B62">
        <w:rPr>
          <w:rFonts w:ascii="Times New Roman" w:hAnsi="Times New Roman" w:cs="Times New Roman"/>
        </w:rPr>
        <w:t xml:space="preserve"> </w:t>
      </w:r>
      <w:r w:rsidR="00BA5B62" w:rsidRPr="00BA5B62">
        <w:rPr>
          <w:rFonts w:ascii="Times New Roman" w:hAnsi="Times New Roman" w:cs="Times New Roman"/>
        </w:rPr>
        <w:t>indicates types of in-scope services-based solutions</w:t>
      </w:r>
      <w:r w:rsidRPr="00BA5B62">
        <w:rPr>
          <w:rFonts w:ascii="Times New Roman" w:hAnsi="Times New Roman" w:cs="Times New Roman"/>
        </w:rPr>
        <w:t xml:space="preserve">. Other services which adhere to the definition of ITC/AV are within scope and may be provided to meet a particular mission </w:t>
      </w:r>
      <w:r w:rsidR="00BA5B62" w:rsidRPr="00BA5B62">
        <w:rPr>
          <w:rFonts w:ascii="Times New Roman" w:hAnsi="Times New Roman" w:cs="Times New Roman"/>
        </w:rPr>
        <w:t>need</w:t>
      </w:r>
      <w:r w:rsidRPr="00BA5B62">
        <w:rPr>
          <w:rFonts w:ascii="Times New Roman" w:hAnsi="Times New Roman" w:cs="Times New Roman"/>
        </w:rPr>
        <w:t xml:space="preserve">. Note that while the general service areas of Category C services in some cases overlap with Category B, Category C is intended to be utilized for </w:t>
      </w:r>
      <w:r w:rsidR="00BA5B62" w:rsidRPr="00BA5B62">
        <w:rPr>
          <w:rFonts w:ascii="Times New Roman" w:hAnsi="Times New Roman" w:cs="Times New Roman"/>
        </w:rPr>
        <w:t>mission-level</w:t>
      </w:r>
      <w:r w:rsidRPr="00BA5B62">
        <w:rPr>
          <w:rFonts w:ascii="Times New Roman" w:hAnsi="Times New Roman" w:cs="Times New Roman"/>
        </w:rPr>
        <w:t xml:space="preserve"> implementations.</w:t>
      </w:r>
    </w:p>
    <w:tbl>
      <w:tblPr>
        <w:tblW w:w="10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60"/>
      </w:tblGrid>
      <w:tr w:rsidR="00DD05DB" w:rsidRPr="00BA5B62" w14:paraId="6C258CCC" w14:textId="77777777">
        <w:tc>
          <w:tcPr>
            <w:tcW w:w="9760" w:type="dxa"/>
            <w:shd w:val="clear" w:color="auto" w:fill="FBF4DE"/>
            <w:tcMar>
              <w:top w:w="150" w:type="dxa"/>
              <w:left w:w="180" w:type="dxa"/>
              <w:bottom w:w="150" w:type="dxa"/>
              <w:right w:w="180" w:type="dxa"/>
            </w:tcMar>
          </w:tcPr>
          <w:p w14:paraId="7746A49A"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rPr>
              <w:t xml:space="preserve">Order Threshold Restrictions — </w:t>
            </w:r>
            <w:r w:rsidRPr="00BA5B62">
              <w:rPr>
                <w:rFonts w:ascii="Times New Roman" w:hAnsi="Times New Roman" w:cs="Times New Roman"/>
              </w:rPr>
              <w:t>Category C has a threshold restriction of $2 million per order (inclusive of options) for the 1st year of contract performance and $10 million per order in the 2nd year of contract performance. Category C threshold restrictions are subject to removal beginning in the 3rd year of contract performance.</w:t>
            </w:r>
          </w:p>
        </w:tc>
      </w:tr>
    </w:tbl>
    <w:p w14:paraId="77975AD4" w14:textId="77777777" w:rsidR="00DD05DB" w:rsidRPr="00BA5B62" w:rsidRDefault="00DD05DB">
      <w:pPr>
        <w:spacing w:after="160"/>
        <w:rPr>
          <w:rFonts w:ascii="Times New Roman" w:hAnsi="Times New Roman" w:cs="Times New Roman"/>
        </w:rPr>
      </w:pPr>
    </w:p>
    <w:p w14:paraId="04846670"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1c: Innovation Services</w:t>
      </w:r>
    </w:p>
    <w:p w14:paraId="665A8E0F"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2c: Information and Data Analytics Services (IDAS)</w:t>
      </w:r>
    </w:p>
    <w:p w14:paraId="3B08B835"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3c: Application Services/Software Development</w:t>
      </w:r>
    </w:p>
    <w:p w14:paraId="588F8C2A"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4c: Cybersecurity Services</w:t>
      </w:r>
    </w:p>
    <w:p w14:paraId="160108F8"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5c: Cloud Services</w:t>
      </w:r>
    </w:p>
    <w:p w14:paraId="40C1C02D"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6c: Digital Multimedia and Technical Communications</w:t>
      </w:r>
    </w:p>
    <w:p w14:paraId="63F64D05"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7c: IT Operations and Maintenance / Help Desk/Call Center</w:t>
      </w:r>
    </w:p>
    <w:p w14:paraId="7AF5AE60"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8c: Network Services</w:t>
      </w:r>
    </w:p>
    <w:p w14:paraId="3E2F98DA"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9c: Database Services</w:t>
      </w:r>
    </w:p>
    <w:p w14:paraId="4307C653"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10c: In-Scope Training</w:t>
      </w:r>
    </w:p>
    <w:p w14:paraId="1C5043E8" w14:textId="77777777" w:rsidR="00DD05DB" w:rsidRPr="00BA5B62" w:rsidRDefault="00000000">
      <w:pPr>
        <w:pStyle w:val="ListParagraph"/>
        <w:numPr>
          <w:ilvl w:val="0"/>
          <w:numId w:val="2"/>
        </w:numPr>
        <w:spacing w:after="60"/>
        <w:rPr>
          <w:rFonts w:ascii="Times New Roman" w:hAnsi="Times New Roman" w:cs="Times New Roman"/>
        </w:rPr>
      </w:pPr>
      <w:r w:rsidRPr="00BA5B62">
        <w:rPr>
          <w:rFonts w:ascii="Times New Roman" w:hAnsi="Times New Roman" w:cs="Times New Roman"/>
        </w:rPr>
        <w:t>Technical Area 11c: Program Management/Ancillary Services and Supplies</w:t>
      </w:r>
    </w:p>
    <w:p w14:paraId="4E49E862" w14:textId="77777777" w:rsidR="00DD05DB" w:rsidRPr="00BA5B62" w:rsidRDefault="00DD05DB">
      <w:pPr>
        <w:pageBreakBefore/>
        <w:rPr>
          <w:rFonts w:ascii="Times New Roman" w:hAnsi="Times New Roman" w:cs="Times New Roman"/>
        </w:rPr>
      </w:pPr>
    </w:p>
    <w:p w14:paraId="0464CDEC" w14:textId="77777777" w:rsidR="00DD05DB" w:rsidRPr="00BA5B62" w:rsidRDefault="00000000">
      <w:pPr>
        <w:pStyle w:val="Heading1"/>
        <w:keepNext/>
        <w:pBdr>
          <w:bottom w:val="single" w:sz="10" w:space="6" w:color="C9A227"/>
        </w:pBdr>
        <w:spacing w:before="300" w:after="160"/>
        <w:rPr>
          <w:rFonts w:ascii="Times New Roman" w:hAnsi="Times New Roman" w:cs="Times New Roman"/>
        </w:rPr>
      </w:pPr>
      <w:r w:rsidRPr="00BA5B62">
        <w:rPr>
          <w:rFonts w:ascii="Times New Roman" w:hAnsi="Times New Roman" w:cs="Times New Roman"/>
          <w:spacing w:val="10"/>
        </w:rPr>
        <w:t>ORDERING PROCESS</w:t>
      </w:r>
    </w:p>
    <w:p w14:paraId="2A3C93CD"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internal ordering process of each Agency varies. The process and accompanying forms for Purchase Requests (PR) and Delivery Orders (DO) that are issued against a SEWP contract is defined by the issuing Agency, not the NASA SEWP Program Management Office (PMO). The typical process is for an end-user to determine a requirement and generate a Purchase Request (PR).</w:t>
      </w:r>
    </w:p>
    <w:p w14:paraId="70FEFABC"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PR along with any necessary funding information is sent to that Agency's procurement office which results in the issuance of a DO. Any valid Federal Agency DO form, and the associated Delivery Order number may be used. The NASA SEWP Program Management Office (PMO) does not issue DOs - these must be issued through the issuing Agency's procurement office. The SEWP Program Management Office (PMO) reviews, processes and tracks issued DOs and forwards them to the Contract Holder(s).</w:t>
      </w:r>
    </w:p>
    <w:p w14:paraId="00E5E148"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Some Agencies have special requirements for issuing IT Delivery Orders. It is the Issuing Agency's Contracting Officers' (COs/KOs) responsibility to be aware of any Agency-specific policies regarding issuing orders via an existing contract vehicle and Government-Wide Acquisition Contracts. There are no requirements under the SEWP Contracts for issuing Agencies to use other intermediary procurement offices, except as directed through their own internal policies.</w:t>
      </w:r>
    </w:p>
    <w:p w14:paraId="0E0038B0"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If modifications are made to any order, these modifications must also route through the SEWP Program Management Office (PMO).</w:t>
      </w:r>
    </w:p>
    <w:p w14:paraId="398B6DE3"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Order Submission</w:t>
      </w:r>
    </w:p>
    <w:p w14:paraId="35037A6A"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Unless an agency receives an exemption from the SEWP Program Management Office (PMO), all delivery orders shall be submitted by the issuing Agency directly to the SEWP PMO whose functions are described in the Statement of Work prior to acceptance and processing of the delivery order by the contractor. Submission may be made either via e-mail, fax, or other designated electronic commerce methods as defined by the SEWP PMO.</w:t>
      </w:r>
    </w:p>
    <w:p w14:paraId="617C07AD"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Authorized Contract Types</w:t>
      </w:r>
    </w:p>
    <w:p w14:paraId="6E3F6983"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SEWP GWAC allows for Firm Fixed Price, Time and Material, Labor Hour, Fixed Price Award Fee, Fixed Price Incentive Fee, Fixed Price Economic Price Adjustment, or any hybrid of commercial contract types for orders. Ordering Contracting Officers are required to include the appropriate FAR and agency clauses when using a respective contract type.</w:t>
      </w:r>
    </w:p>
    <w:p w14:paraId="11BFB57D"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Order Limitations</w:t>
      </w:r>
    </w:p>
    <w:p w14:paraId="02A2294C"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When the Government requires supplies or services covered by this contract in an amount of less than $25, the Government is not obligated to purchase, nor is the Contractor obligated to furnish, those supplies or services under the contract.</w:t>
      </w:r>
    </w:p>
    <w:p w14:paraId="2216F485"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The Contractor is not obligated to honor any order for a single item </w:t>
      </w:r>
      <w:proofErr w:type="gramStart"/>
      <w:r w:rsidRPr="00BA5B62">
        <w:rPr>
          <w:rFonts w:ascii="Times New Roman" w:hAnsi="Times New Roman" w:cs="Times New Roman"/>
        </w:rPr>
        <w:t>in excess of</w:t>
      </w:r>
      <w:proofErr w:type="gramEnd"/>
      <w:r w:rsidRPr="00BA5B62">
        <w:rPr>
          <w:rFonts w:ascii="Times New Roman" w:hAnsi="Times New Roman" w:cs="Times New Roman"/>
        </w:rPr>
        <w:t xml:space="preserve"> $3 million; any order for a combination of items </w:t>
      </w:r>
      <w:proofErr w:type="gramStart"/>
      <w:r w:rsidRPr="00BA5B62">
        <w:rPr>
          <w:rFonts w:ascii="Times New Roman" w:hAnsi="Times New Roman" w:cs="Times New Roman"/>
        </w:rPr>
        <w:t>in excess of</w:t>
      </w:r>
      <w:proofErr w:type="gramEnd"/>
      <w:r w:rsidRPr="00BA5B62">
        <w:rPr>
          <w:rFonts w:ascii="Times New Roman" w:hAnsi="Times New Roman" w:cs="Times New Roman"/>
        </w:rPr>
        <w:t xml:space="preserve"> $11 million; or a series of orders from the same ordering office within 30 days that together call for quantities exceeding those limitations. Notwithstanding those limits, the Contractor shall honor any order exceeding the maximum order limitations unless that order is returned to the ordering office within seven (7) days after issuance, with written notice stating the Contractor’s intent not to ship the item called for and the reasons.</w:t>
      </w:r>
    </w:p>
    <w:p w14:paraId="65AF56BA" w14:textId="77777777" w:rsidR="00DD05DB" w:rsidRPr="00BA5B62" w:rsidRDefault="00DD05DB">
      <w:pPr>
        <w:pageBreakBefore/>
        <w:rPr>
          <w:rFonts w:ascii="Times New Roman" w:hAnsi="Times New Roman" w:cs="Times New Roman"/>
        </w:rPr>
      </w:pPr>
    </w:p>
    <w:p w14:paraId="129F0832" w14:textId="77777777" w:rsidR="00DD05DB" w:rsidRPr="00BA5B62" w:rsidRDefault="00000000">
      <w:pPr>
        <w:pStyle w:val="Heading1"/>
        <w:keepNext/>
        <w:pBdr>
          <w:bottom w:val="single" w:sz="10" w:space="6" w:color="C9A227"/>
        </w:pBdr>
        <w:spacing w:before="300" w:after="160"/>
        <w:rPr>
          <w:rFonts w:ascii="Times New Roman" w:hAnsi="Times New Roman" w:cs="Times New Roman"/>
        </w:rPr>
      </w:pPr>
      <w:r w:rsidRPr="00BA5B62">
        <w:rPr>
          <w:rFonts w:ascii="Times New Roman" w:hAnsi="Times New Roman" w:cs="Times New Roman"/>
          <w:spacing w:val="10"/>
        </w:rPr>
        <w:t>HOW TO OBTAIN A QUOTE</w:t>
      </w:r>
    </w:p>
    <w:p w14:paraId="7A0A2BD8"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Requests for quotes may be issued to Tryfacta through the NASA SEWP Quote Request Tool at www.sewp.nasa.gov, or directly to the contacts below.</w:t>
      </w:r>
    </w:p>
    <w:tbl>
      <w:tblPr>
        <w:tblW w:w="100" w:type="auto"/>
        <w:tblBorders>
          <w:top w:val="single" w:sz="4" w:space="0" w:color="C3CEDB"/>
          <w:left w:val="none" w:sz="0" w:space="0" w:color="FFFFFF"/>
          <w:bottom w:val="single" w:sz="4" w:space="0" w:color="C3CEDB"/>
          <w:right w:val="none" w:sz="0" w:space="0" w:color="FFFFFF"/>
          <w:insideH w:val="single" w:sz="2" w:space="0" w:color="E3EAF2"/>
          <w:insideV w:val="none" w:sz="0" w:space="0" w:color="FFFFFF"/>
        </w:tblBorders>
        <w:tblCellMar>
          <w:left w:w="10" w:type="dxa"/>
          <w:right w:w="10" w:type="dxa"/>
        </w:tblCellMar>
        <w:tblLook w:val="0000" w:firstRow="0" w:lastRow="0" w:firstColumn="0" w:lastColumn="0" w:noHBand="0" w:noVBand="0"/>
      </w:tblPr>
      <w:tblGrid>
        <w:gridCol w:w="2500"/>
        <w:gridCol w:w="2500"/>
        <w:gridCol w:w="2900"/>
        <w:gridCol w:w="1860"/>
      </w:tblGrid>
      <w:tr w:rsidR="00DD05DB" w:rsidRPr="00BA5B62" w14:paraId="7FA65E30" w14:textId="77777777">
        <w:trPr>
          <w:tblHeader/>
        </w:trPr>
        <w:tc>
          <w:tcPr>
            <w:tcW w:w="2500" w:type="dxa"/>
            <w:shd w:val="clear" w:color="auto" w:fill="EAF1F8"/>
            <w:tcMar>
              <w:top w:w="90" w:type="dxa"/>
              <w:left w:w="120" w:type="dxa"/>
              <w:bottom w:w="90" w:type="dxa"/>
              <w:right w:w="120" w:type="dxa"/>
            </w:tcMar>
          </w:tcPr>
          <w:p w14:paraId="7340FAD2"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Purpose</w:t>
            </w:r>
          </w:p>
        </w:tc>
        <w:tc>
          <w:tcPr>
            <w:tcW w:w="2500" w:type="dxa"/>
            <w:shd w:val="clear" w:color="auto" w:fill="EAF1F8"/>
            <w:tcMar>
              <w:top w:w="90" w:type="dxa"/>
              <w:left w:w="120" w:type="dxa"/>
              <w:bottom w:w="90" w:type="dxa"/>
              <w:right w:w="120" w:type="dxa"/>
            </w:tcMar>
          </w:tcPr>
          <w:p w14:paraId="1EE34626"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Contact</w:t>
            </w:r>
          </w:p>
        </w:tc>
        <w:tc>
          <w:tcPr>
            <w:tcW w:w="2900" w:type="dxa"/>
            <w:shd w:val="clear" w:color="auto" w:fill="EAF1F8"/>
            <w:tcMar>
              <w:top w:w="90" w:type="dxa"/>
              <w:left w:w="120" w:type="dxa"/>
              <w:bottom w:w="90" w:type="dxa"/>
              <w:right w:w="120" w:type="dxa"/>
            </w:tcMar>
          </w:tcPr>
          <w:p w14:paraId="1006DD06"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Email</w:t>
            </w:r>
          </w:p>
        </w:tc>
        <w:tc>
          <w:tcPr>
            <w:tcW w:w="1860" w:type="dxa"/>
            <w:shd w:val="clear" w:color="auto" w:fill="EAF1F8"/>
            <w:tcMar>
              <w:top w:w="90" w:type="dxa"/>
              <w:left w:w="120" w:type="dxa"/>
              <w:bottom w:w="90" w:type="dxa"/>
              <w:right w:w="120" w:type="dxa"/>
            </w:tcMar>
          </w:tcPr>
          <w:p w14:paraId="7259F203"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Telephone</w:t>
            </w:r>
          </w:p>
        </w:tc>
      </w:tr>
      <w:tr w:rsidR="00DD05DB" w:rsidRPr="00BA5B62" w14:paraId="1995B1E4" w14:textId="77777777">
        <w:tc>
          <w:tcPr>
            <w:tcW w:w="2500" w:type="dxa"/>
            <w:tcMar>
              <w:top w:w="90" w:type="dxa"/>
              <w:left w:w="120" w:type="dxa"/>
              <w:bottom w:w="90" w:type="dxa"/>
              <w:right w:w="120" w:type="dxa"/>
            </w:tcMar>
          </w:tcPr>
          <w:p w14:paraId="2C785671"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VI Quotes and Sales</w:t>
            </w:r>
          </w:p>
        </w:tc>
        <w:tc>
          <w:tcPr>
            <w:tcW w:w="2500" w:type="dxa"/>
            <w:tcMar>
              <w:top w:w="90" w:type="dxa"/>
              <w:left w:w="120" w:type="dxa"/>
              <w:bottom w:w="90" w:type="dxa"/>
              <w:right w:w="120" w:type="dxa"/>
            </w:tcMar>
          </w:tcPr>
          <w:p w14:paraId="1F990265"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Sara Cinotti</w:t>
            </w:r>
          </w:p>
        </w:tc>
        <w:tc>
          <w:tcPr>
            <w:tcW w:w="2900" w:type="dxa"/>
            <w:tcMar>
              <w:top w:w="90" w:type="dxa"/>
              <w:left w:w="120" w:type="dxa"/>
              <w:bottom w:w="90" w:type="dxa"/>
              <w:right w:w="120" w:type="dxa"/>
            </w:tcMar>
          </w:tcPr>
          <w:p w14:paraId="4BFDB242"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federal@tryfacta.com</w:t>
            </w:r>
          </w:p>
        </w:tc>
        <w:tc>
          <w:tcPr>
            <w:tcW w:w="1860" w:type="dxa"/>
            <w:tcMar>
              <w:top w:w="90" w:type="dxa"/>
              <w:left w:w="120" w:type="dxa"/>
              <w:bottom w:w="90" w:type="dxa"/>
              <w:right w:w="120" w:type="dxa"/>
            </w:tcMar>
          </w:tcPr>
          <w:p w14:paraId="5EAC7873" w14:textId="30D65E0E" w:rsidR="00DD05DB" w:rsidRPr="00126C18" w:rsidRDefault="00126C18">
            <w:pPr>
              <w:rPr>
                <w:rFonts w:ascii="Times New Roman" w:hAnsi="Times New Roman" w:cs="Times New Roman"/>
                <w:sz w:val="18"/>
                <w:szCs w:val="18"/>
              </w:rPr>
            </w:pPr>
            <w:r>
              <w:rPr>
                <w:rFonts w:ascii="Times New Roman" w:hAnsi="Times New Roman" w:cs="Times New Roman"/>
                <w:sz w:val="18"/>
                <w:szCs w:val="18"/>
              </w:rPr>
              <w:t>(</w:t>
            </w:r>
            <w:r w:rsidRPr="00BA5B62">
              <w:rPr>
                <w:rFonts w:ascii="Times New Roman" w:hAnsi="Times New Roman" w:cs="Times New Roman"/>
                <w:sz w:val="18"/>
                <w:szCs w:val="18"/>
              </w:rPr>
              <w:t>703</w:t>
            </w:r>
            <w:r>
              <w:rPr>
                <w:rFonts w:ascii="Times New Roman" w:hAnsi="Times New Roman" w:cs="Times New Roman"/>
                <w:sz w:val="18"/>
                <w:szCs w:val="18"/>
              </w:rPr>
              <w:t xml:space="preserve">) </w:t>
            </w:r>
            <w:r w:rsidRPr="00BA5B62">
              <w:rPr>
                <w:rFonts w:ascii="Times New Roman" w:hAnsi="Times New Roman" w:cs="Times New Roman"/>
                <w:sz w:val="18"/>
                <w:szCs w:val="18"/>
              </w:rPr>
              <w:t>977</w:t>
            </w:r>
            <w:r>
              <w:rPr>
                <w:rFonts w:ascii="Times New Roman" w:hAnsi="Times New Roman" w:cs="Times New Roman"/>
                <w:sz w:val="18"/>
                <w:szCs w:val="18"/>
              </w:rPr>
              <w:t>-</w:t>
            </w:r>
            <w:r w:rsidRPr="00BA5B62">
              <w:rPr>
                <w:rFonts w:ascii="Times New Roman" w:hAnsi="Times New Roman" w:cs="Times New Roman"/>
                <w:sz w:val="18"/>
                <w:szCs w:val="18"/>
              </w:rPr>
              <w:t>1177</w:t>
            </w:r>
          </w:p>
        </w:tc>
      </w:tr>
      <w:tr w:rsidR="00DD05DB" w:rsidRPr="00BA5B62" w14:paraId="36969DF3" w14:textId="77777777">
        <w:tc>
          <w:tcPr>
            <w:tcW w:w="2500" w:type="dxa"/>
            <w:tcMar>
              <w:top w:w="90" w:type="dxa"/>
              <w:left w:w="120" w:type="dxa"/>
              <w:bottom w:w="90" w:type="dxa"/>
              <w:right w:w="120" w:type="dxa"/>
            </w:tcMar>
          </w:tcPr>
          <w:p w14:paraId="1ED630B3"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Program Manager</w:t>
            </w:r>
          </w:p>
        </w:tc>
        <w:tc>
          <w:tcPr>
            <w:tcW w:w="2500" w:type="dxa"/>
            <w:tcMar>
              <w:top w:w="90" w:type="dxa"/>
              <w:left w:w="120" w:type="dxa"/>
              <w:bottom w:w="90" w:type="dxa"/>
              <w:right w:w="120" w:type="dxa"/>
            </w:tcMar>
          </w:tcPr>
          <w:p w14:paraId="1A1717B3"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Sara Cinotti</w:t>
            </w:r>
          </w:p>
        </w:tc>
        <w:tc>
          <w:tcPr>
            <w:tcW w:w="2900" w:type="dxa"/>
            <w:tcMar>
              <w:top w:w="90" w:type="dxa"/>
              <w:left w:w="120" w:type="dxa"/>
              <w:bottom w:w="90" w:type="dxa"/>
              <w:right w:w="120" w:type="dxa"/>
            </w:tcMar>
          </w:tcPr>
          <w:p w14:paraId="02F4EB3F"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Sara.cinotti@tryfacta.com</w:t>
            </w:r>
          </w:p>
        </w:tc>
        <w:tc>
          <w:tcPr>
            <w:tcW w:w="1860" w:type="dxa"/>
            <w:tcMar>
              <w:top w:w="90" w:type="dxa"/>
              <w:left w:w="120" w:type="dxa"/>
              <w:bottom w:w="90" w:type="dxa"/>
              <w:right w:w="120" w:type="dxa"/>
            </w:tcMar>
          </w:tcPr>
          <w:p w14:paraId="08F192BA" w14:textId="791CAF3C" w:rsidR="00DD05DB" w:rsidRPr="00126C18" w:rsidRDefault="00126C18">
            <w:pPr>
              <w:rPr>
                <w:rFonts w:ascii="Times New Roman" w:hAnsi="Times New Roman" w:cs="Times New Roman"/>
                <w:sz w:val="18"/>
                <w:szCs w:val="18"/>
              </w:rPr>
            </w:pPr>
            <w:r>
              <w:rPr>
                <w:rFonts w:ascii="Times New Roman" w:hAnsi="Times New Roman" w:cs="Times New Roman"/>
                <w:sz w:val="18"/>
                <w:szCs w:val="18"/>
              </w:rPr>
              <w:t>(</w:t>
            </w:r>
            <w:r w:rsidRPr="00BA5B62">
              <w:rPr>
                <w:rFonts w:ascii="Times New Roman" w:hAnsi="Times New Roman" w:cs="Times New Roman"/>
                <w:sz w:val="18"/>
                <w:szCs w:val="18"/>
              </w:rPr>
              <w:t>703</w:t>
            </w:r>
            <w:r>
              <w:rPr>
                <w:rFonts w:ascii="Times New Roman" w:hAnsi="Times New Roman" w:cs="Times New Roman"/>
                <w:sz w:val="18"/>
                <w:szCs w:val="18"/>
              </w:rPr>
              <w:t xml:space="preserve">) </w:t>
            </w:r>
            <w:r w:rsidRPr="00BA5B62">
              <w:rPr>
                <w:rFonts w:ascii="Times New Roman" w:hAnsi="Times New Roman" w:cs="Times New Roman"/>
                <w:sz w:val="18"/>
                <w:szCs w:val="18"/>
              </w:rPr>
              <w:t>977</w:t>
            </w:r>
            <w:r>
              <w:rPr>
                <w:rFonts w:ascii="Times New Roman" w:hAnsi="Times New Roman" w:cs="Times New Roman"/>
                <w:sz w:val="18"/>
                <w:szCs w:val="18"/>
              </w:rPr>
              <w:t>-</w:t>
            </w:r>
            <w:r w:rsidRPr="00BA5B62">
              <w:rPr>
                <w:rFonts w:ascii="Times New Roman" w:hAnsi="Times New Roman" w:cs="Times New Roman"/>
                <w:sz w:val="18"/>
                <w:szCs w:val="18"/>
              </w:rPr>
              <w:t>1177</w:t>
            </w:r>
          </w:p>
        </w:tc>
      </w:tr>
      <w:tr w:rsidR="00DD05DB" w:rsidRPr="00BA5B62" w14:paraId="51E7B938" w14:textId="77777777">
        <w:tc>
          <w:tcPr>
            <w:tcW w:w="2500" w:type="dxa"/>
            <w:tcMar>
              <w:top w:w="90" w:type="dxa"/>
              <w:left w:w="120" w:type="dxa"/>
              <w:bottom w:w="90" w:type="dxa"/>
              <w:right w:w="120" w:type="dxa"/>
            </w:tcMar>
          </w:tcPr>
          <w:p w14:paraId="4B363C79"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Deputy Program Manager</w:t>
            </w:r>
          </w:p>
        </w:tc>
        <w:tc>
          <w:tcPr>
            <w:tcW w:w="2500" w:type="dxa"/>
            <w:tcMar>
              <w:top w:w="90" w:type="dxa"/>
              <w:left w:w="120" w:type="dxa"/>
              <w:bottom w:w="90" w:type="dxa"/>
              <w:right w:w="120" w:type="dxa"/>
            </w:tcMar>
          </w:tcPr>
          <w:p w14:paraId="7ABACA44"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Jatin Khanna</w:t>
            </w:r>
          </w:p>
        </w:tc>
        <w:tc>
          <w:tcPr>
            <w:tcW w:w="2900" w:type="dxa"/>
            <w:tcMar>
              <w:top w:w="90" w:type="dxa"/>
              <w:left w:w="120" w:type="dxa"/>
              <w:bottom w:w="90" w:type="dxa"/>
              <w:right w:w="120" w:type="dxa"/>
            </w:tcMar>
          </w:tcPr>
          <w:p w14:paraId="6AEE8A83"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Jatin.khanna@tryfacta.com</w:t>
            </w:r>
          </w:p>
        </w:tc>
        <w:tc>
          <w:tcPr>
            <w:tcW w:w="1860" w:type="dxa"/>
            <w:tcMar>
              <w:top w:w="90" w:type="dxa"/>
              <w:left w:w="120" w:type="dxa"/>
              <w:bottom w:w="90" w:type="dxa"/>
              <w:right w:w="120" w:type="dxa"/>
            </w:tcMar>
          </w:tcPr>
          <w:p w14:paraId="5C44AE83"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(571) 424-4441</w:t>
            </w:r>
          </w:p>
        </w:tc>
      </w:tr>
    </w:tbl>
    <w:p w14:paraId="41B98D2F" w14:textId="77777777" w:rsidR="00DD05DB" w:rsidRPr="00BA5B62" w:rsidRDefault="00DD05DB">
      <w:pPr>
        <w:spacing w:after="180"/>
        <w:rPr>
          <w:rFonts w:ascii="Times New Roman" w:hAnsi="Times New Roman" w:cs="Times New Roman"/>
        </w:rPr>
      </w:pPr>
    </w:p>
    <w:p w14:paraId="066A16E0"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Quote Terms Stated in the Contract</w:t>
      </w:r>
    </w:p>
    <w:p w14:paraId="2EFC37D6"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 xml:space="preserve">When submitting a quote to a government end-user, the contractor must clearly state the length of time the quote is valid. The contractor shall honor any order submitted within the stated </w:t>
      </w:r>
      <w:proofErr w:type="gramStart"/>
      <w:r w:rsidRPr="00BA5B62">
        <w:rPr>
          <w:rFonts w:ascii="Times New Roman" w:hAnsi="Times New Roman" w:cs="Times New Roman"/>
        </w:rPr>
        <w:t>time period</w:t>
      </w:r>
      <w:proofErr w:type="gramEnd"/>
      <w:r w:rsidRPr="00BA5B62">
        <w:rPr>
          <w:rFonts w:ascii="Times New Roman" w:hAnsi="Times New Roman" w:cs="Times New Roman"/>
        </w:rPr>
        <w:t xml:space="preserve"> of a quote.</w:t>
      </w:r>
    </w:p>
    <w:p w14:paraId="1CF6E9E1"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Contractor may only respond to an RFQ or Market Research Request with items available on their Contract and the price of each item shall be the no greater than the price in Attachment F SEWP database of record at the time the quote is issued. If the Contractor has insufficient items on their contract to fully respond to the Formal RFQ, the Contractor must respond with a No Bid. Unless the RFQ specifically allows for partial quotes, the Contractor must respond fully to all requirements specified in the RFQ.</w:t>
      </w:r>
    </w:p>
    <w:p w14:paraId="47772E1C"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Contractor shall not market, quote or otherwise offer for sale, any IT Solutions not listed under this contract, until the said solutions are included in the SEWP database of record, and available to all Government end-users.</w:t>
      </w:r>
    </w:p>
    <w:p w14:paraId="4230CC0D"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Agency Administrative Handling Fee</w:t>
      </w:r>
    </w:p>
    <w:p w14:paraId="6510ED6E"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An Agency Administrative Handling Fee, not to exceed .34 % of the total price of the delivery order, shall be applied to all orders under the SEWP VI contracts. In providing quotations to agencies, the Contractor shall be responsible for including the SEWP fee within the total amount of the quote inclusive of all costs including handling, and travel costs. The fee shall NOT be listed separately on quotes or orders. The fee must be included in the price of the quoted offerings.</w:t>
      </w:r>
    </w:p>
    <w:p w14:paraId="55718594" w14:textId="77777777" w:rsidR="00DD05DB" w:rsidRPr="00BA5B62" w:rsidRDefault="00000000">
      <w:pPr>
        <w:pStyle w:val="Heading1"/>
        <w:keepNext/>
        <w:pBdr>
          <w:bottom w:val="single" w:sz="10" w:space="6" w:color="C9A227"/>
        </w:pBdr>
        <w:spacing w:before="300" w:after="160"/>
        <w:rPr>
          <w:rFonts w:ascii="Times New Roman" w:hAnsi="Times New Roman" w:cs="Times New Roman"/>
        </w:rPr>
      </w:pPr>
      <w:r w:rsidRPr="00BA5B62">
        <w:rPr>
          <w:rFonts w:ascii="Times New Roman" w:hAnsi="Times New Roman" w:cs="Times New Roman"/>
          <w:spacing w:val="10"/>
        </w:rPr>
        <w:t>POST-DELIVERY SUPPORT, INSTALLATION AND WARRANTY</w:t>
      </w:r>
    </w:p>
    <w:p w14:paraId="7F1E58D3"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Post-delivery matters, including installation, warranty, technical support and software support, are directed to the contacts below.</w:t>
      </w:r>
    </w:p>
    <w:tbl>
      <w:tblPr>
        <w:tblW w:w="100" w:type="auto"/>
        <w:tblBorders>
          <w:top w:val="single" w:sz="4" w:space="0" w:color="C3CEDB"/>
          <w:left w:val="none" w:sz="0" w:space="0" w:color="FFFFFF"/>
          <w:bottom w:val="single" w:sz="4" w:space="0" w:color="C3CEDB"/>
          <w:right w:val="none" w:sz="0" w:space="0" w:color="FFFFFF"/>
          <w:insideH w:val="single" w:sz="2" w:space="0" w:color="E3EAF2"/>
          <w:insideV w:val="none" w:sz="0" w:space="0" w:color="FFFFFF"/>
        </w:tblBorders>
        <w:tblCellMar>
          <w:left w:w="10" w:type="dxa"/>
          <w:right w:w="10" w:type="dxa"/>
        </w:tblCellMar>
        <w:tblLook w:val="0000" w:firstRow="0" w:lastRow="0" w:firstColumn="0" w:lastColumn="0" w:noHBand="0" w:noVBand="0"/>
      </w:tblPr>
      <w:tblGrid>
        <w:gridCol w:w="2500"/>
        <w:gridCol w:w="2500"/>
        <w:gridCol w:w="2900"/>
        <w:gridCol w:w="1860"/>
      </w:tblGrid>
      <w:tr w:rsidR="00DD05DB" w:rsidRPr="00BA5B62" w14:paraId="465EE96C" w14:textId="77777777">
        <w:trPr>
          <w:tblHeader/>
        </w:trPr>
        <w:tc>
          <w:tcPr>
            <w:tcW w:w="2500" w:type="dxa"/>
            <w:shd w:val="clear" w:color="auto" w:fill="EAF1F8"/>
            <w:tcMar>
              <w:top w:w="90" w:type="dxa"/>
              <w:left w:w="120" w:type="dxa"/>
              <w:bottom w:w="90" w:type="dxa"/>
              <w:right w:w="120" w:type="dxa"/>
            </w:tcMar>
          </w:tcPr>
          <w:p w14:paraId="4A42A398"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Purpose</w:t>
            </w:r>
          </w:p>
        </w:tc>
        <w:tc>
          <w:tcPr>
            <w:tcW w:w="2500" w:type="dxa"/>
            <w:shd w:val="clear" w:color="auto" w:fill="EAF1F8"/>
            <w:tcMar>
              <w:top w:w="90" w:type="dxa"/>
              <w:left w:w="120" w:type="dxa"/>
              <w:bottom w:w="90" w:type="dxa"/>
              <w:right w:w="120" w:type="dxa"/>
            </w:tcMar>
          </w:tcPr>
          <w:p w14:paraId="798ACB51"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Contact</w:t>
            </w:r>
          </w:p>
        </w:tc>
        <w:tc>
          <w:tcPr>
            <w:tcW w:w="2900" w:type="dxa"/>
            <w:shd w:val="clear" w:color="auto" w:fill="EAF1F8"/>
            <w:tcMar>
              <w:top w:w="90" w:type="dxa"/>
              <w:left w:w="120" w:type="dxa"/>
              <w:bottom w:w="90" w:type="dxa"/>
              <w:right w:w="120" w:type="dxa"/>
            </w:tcMar>
          </w:tcPr>
          <w:p w14:paraId="5CA6DF1B"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Email</w:t>
            </w:r>
          </w:p>
        </w:tc>
        <w:tc>
          <w:tcPr>
            <w:tcW w:w="1860" w:type="dxa"/>
            <w:shd w:val="clear" w:color="auto" w:fill="EAF1F8"/>
            <w:tcMar>
              <w:top w:w="90" w:type="dxa"/>
              <w:left w:w="120" w:type="dxa"/>
              <w:bottom w:w="90" w:type="dxa"/>
              <w:right w:w="120" w:type="dxa"/>
            </w:tcMar>
          </w:tcPr>
          <w:p w14:paraId="08C9F23E"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Telephone</w:t>
            </w:r>
          </w:p>
        </w:tc>
      </w:tr>
      <w:tr w:rsidR="00DD05DB" w:rsidRPr="00BA5B62" w14:paraId="45329419" w14:textId="77777777">
        <w:tc>
          <w:tcPr>
            <w:tcW w:w="2500" w:type="dxa"/>
            <w:tcMar>
              <w:top w:w="90" w:type="dxa"/>
              <w:left w:w="120" w:type="dxa"/>
              <w:bottom w:w="90" w:type="dxa"/>
              <w:right w:w="120" w:type="dxa"/>
            </w:tcMar>
          </w:tcPr>
          <w:p w14:paraId="422DB737"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Order &amp; Post-Delivery Support</w:t>
            </w:r>
          </w:p>
        </w:tc>
        <w:tc>
          <w:tcPr>
            <w:tcW w:w="2500" w:type="dxa"/>
            <w:tcMar>
              <w:top w:w="90" w:type="dxa"/>
              <w:left w:w="120" w:type="dxa"/>
              <w:bottom w:w="90" w:type="dxa"/>
              <w:right w:w="120" w:type="dxa"/>
            </w:tcMar>
          </w:tcPr>
          <w:p w14:paraId="6EDA90CB"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Jatin Khanna</w:t>
            </w:r>
          </w:p>
        </w:tc>
        <w:tc>
          <w:tcPr>
            <w:tcW w:w="2900" w:type="dxa"/>
            <w:tcMar>
              <w:top w:w="90" w:type="dxa"/>
              <w:left w:w="120" w:type="dxa"/>
              <w:bottom w:w="90" w:type="dxa"/>
              <w:right w:w="120" w:type="dxa"/>
            </w:tcMar>
          </w:tcPr>
          <w:p w14:paraId="51F1B774"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federal@tryfacta.com</w:t>
            </w:r>
          </w:p>
        </w:tc>
        <w:tc>
          <w:tcPr>
            <w:tcW w:w="1860" w:type="dxa"/>
            <w:tcMar>
              <w:top w:w="90" w:type="dxa"/>
              <w:left w:w="120" w:type="dxa"/>
              <w:bottom w:w="90" w:type="dxa"/>
              <w:right w:w="120" w:type="dxa"/>
            </w:tcMar>
          </w:tcPr>
          <w:p w14:paraId="4117B2C9"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(571) 424-4441</w:t>
            </w:r>
          </w:p>
        </w:tc>
      </w:tr>
      <w:tr w:rsidR="00DD05DB" w:rsidRPr="00BA5B62" w14:paraId="73AFADFA" w14:textId="77777777">
        <w:tc>
          <w:tcPr>
            <w:tcW w:w="2500" w:type="dxa"/>
            <w:tcMar>
              <w:top w:w="90" w:type="dxa"/>
              <w:left w:w="120" w:type="dxa"/>
              <w:bottom w:w="90" w:type="dxa"/>
              <w:right w:w="120" w:type="dxa"/>
            </w:tcMar>
          </w:tcPr>
          <w:p w14:paraId="40685D12"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Deputy Program Manager</w:t>
            </w:r>
          </w:p>
        </w:tc>
        <w:tc>
          <w:tcPr>
            <w:tcW w:w="2500" w:type="dxa"/>
            <w:tcMar>
              <w:top w:w="90" w:type="dxa"/>
              <w:left w:w="120" w:type="dxa"/>
              <w:bottom w:w="90" w:type="dxa"/>
              <w:right w:w="120" w:type="dxa"/>
            </w:tcMar>
          </w:tcPr>
          <w:p w14:paraId="7EC75B25"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Jatin Khanna</w:t>
            </w:r>
          </w:p>
        </w:tc>
        <w:tc>
          <w:tcPr>
            <w:tcW w:w="2900" w:type="dxa"/>
            <w:tcMar>
              <w:top w:w="90" w:type="dxa"/>
              <w:left w:w="120" w:type="dxa"/>
              <w:bottom w:w="90" w:type="dxa"/>
              <w:right w:w="120" w:type="dxa"/>
            </w:tcMar>
          </w:tcPr>
          <w:p w14:paraId="410091F4"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Jatin.khanna@tryfacta.com</w:t>
            </w:r>
          </w:p>
        </w:tc>
        <w:tc>
          <w:tcPr>
            <w:tcW w:w="1860" w:type="dxa"/>
            <w:tcMar>
              <w:top w:w="90" w:type="dxa"/>
              <w:left w:w="120" w:type="dxa"/>
              <w:bottom w:w="90" w:type="dxa"/>
              <w:right w:w="120" w:type="dxa"/>
            </w:tcMar>
          </w:tcPr>
          <w:p w14:paraId="4DEC0CB0"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(571) 424-4441</w:t>
            </w:r>
          </w:p>
        </w:tc>
      </w:tr>
      <w:tr w:rsidR="00DD05DB" w:rsidRPr="00BA5B62" w14:paraId="197C7D39" w14:textId="77777777">
        <w:tc>
          <w:tcPr>
            <w:tcW w:w="2500" w:type="dxa"/>
            <w:tcMar>
              <w:top w:w="90" w:type="dxa"/>
              <w:left w:w="120" w:type="dxa"/>
              <w:bottom w:w="90" w:type="dxa"/>
              <w:right w:w="120" w:type="dxa"/>
            </w:tcMar>
          </w:tcPr>
          <w:p w14:paraId="35B23B32"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Program Manager</w:t>
            </w:r>
          </w:p>
        </w:tc>
        <w:tc>
          <w:tcPr>
            <w:tcW w:w="2500" w:type="dxa"/>
            <w:tcMar>
              <w:top w:w="90" w:type="dxa"/>
              <w:left w:w="120" w:type="dxa"/>
              <w:bottom w:w="90" w:type="dxa"/>
              <w:right w:w="120" w:type="dxa"/>
            </w:tcMar>
          </w:tcPr>
          <w:p w14:paraId="1195ABE2"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Sara Cinotti</w:t>
            </w:r>
          </w:p>
        </w:tc>
        <w:tc>
          <w:tcPr>
            <w:tcW w:w="2900" w:type="dxa"/>
            <w:tcMar>
              <w:top w:w="90" w:type="dxa"/>
              <w:left w:w="120" w:type="dxa"/>
              <w:bottom w:w="90" w:type="dxa"/>
              <w:right w:w="120" w:type="dxa"/>
            </w:tcMar>
          </w:tcPr>
          <w:p w14:paraId="35EFB1DA"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Sara.cinotti@tryfacta.com</w:t>
            </w:r>
          </w:p>
        </w:tc>
        <w:tc>
          <w:tcPr>
            <w:tcW w:w="1860" w:type="dxa"/>
            <w:tcMar>
              <w:top w:w="90" w:type="dxa"/>
              <w:left w:w="120" w:type="dxa"/>
              <w:bottom w:w="90" w:type="dxa"/>
              <w:right w:w="120" w:type="dxa"/>
            </w:tcMar>
          </w:tcPr>
          <w:p w14:paraId="4786CD3D" w14:textId="79E9D0C0" w:rsidR="00DD05DB" w:rsidRPr="00126C18" w:rsidRDefault="00126C18">
            <w:pPr>
              <w:rPr>
                <w:rFonts w:ascii="Times New Roman" w:hAnsi="Times New Roman" w:cs="Times New Roman"/>
                <w:sz w:val="18"/>
                <w:szCs w:val="18"/>
              </w:rPr>
            </w:pPr>
            <w:r>
              <w:rPr>
                <w:rFonts w:ascii="Times New Roman" w:hAnsi="Times New Roman" w:cs="Times New Roman"/>
                <w:sz w:val="18"/>
                <w:szCs w:val="18"/>
              </w:rPr>
              <w:t>(</w:t>
            </w:r>
            <w:r w:rsidRPr="00BA5B62">
              <w:rPr>
                <w:rFonts w:ascii="Times New Roman" w:hAnsi="Times New Roman" w:cs="Times New Roman"/>
                <w:sz w:val="18"/>
                <w:szCs w:val="18"/>
              </w:rPr>
              <w:t>703</w:t>
            </w:r>
            <w:r>
              <w:rPr>
                <w:rFonts w:ascii="Times New Roman" w:hAnsi="Times New Roman" w:cs="Times New Roman"/>
                <w:sz w:val="18"/>
                <w:szCs w:val="18"/>
              </w:rPr>
              <w:t xml:space="preserve">) </w:t>
            </w:r>
            <w:r w:rsidRPr="00BA5B62">
              <w:rPr>
                <w:rFonts w:ascii="Times New Roman" w:hAnsi="Times New Roman" w:cs="Times New Roman"/>
                <w:sz w:val="18"/>
                <w:szCs w:val="18"/>
              </w:rPr>
              <w:t>977</w:t>
            </w:r>
            <w:r>
              <w:rPr>
                <w:rFonts w:ascii="Times New Roman" w:hAnsi="Times New Roman" w:cs="Times New Roman"/>
                <w:sz w:val="18"/>
                <w:szCs w:val="18"/>
              </w:rPr>
              <w:t>-</w:t>
            </w:r>
            <w:r w:rsidRPr="00BA5B62">
              <w:rPr>
                <w:rFonts w:ascii="Times New Roman" w:hAnsi="Times New Roman" w:cs="Times New Roman"/>
                <w:sz w:val="18"/>
                <w:szCs w:val="18"/>
              </w:rPr>
              <w:t>1177</w:t>
            </w:r>
          </w:p>
        </w:tc>
      </w:tr>
    </w:tbl>
    <w:p w14:paraId="57DCA1F0" w14:textId="77777777" w:rsidR="00DD05DB" w:rsidRPr="00BA5B62" w:rsidRDefault="00DD05DB">
      <w:pPr>
        <w:spacing w:after="180"/>
        <w:rPr>
          <w:rFonts w:ascii="Times New Roman" w:hAnsi="Times New Roman" w:cs="Times New Roman"/>
        </w:rPr>
      </w:pPr>
    </w:p>
    <w:p w14:paraId="463D50CC"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Warranty Terms Stated in the Contract</w:t>
      </w:r>
    </w:p>
    <w:p w14:paraId="39518F6E"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The Contractor shall provide an extended warranty, which can be purchased and begin at any time during the standard commercial warranty period up to and including the end of the commercial warranty period. Extended warranty packages may be invoiced and paid at the start of the warranty period. This extended warranty shall provide coverage based on the commercial warranty period.</w:t>
      </w:r>
    </w:p>
    <w:p w14:paraId="08F84954"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lastRenderedPageBreak/>
        <w:t xml:space="preserve">At the Government’s discretion, the Government </w:t>
      </w:r>
      <w:proofErr w:type="gramStart"/>
      <w:r w:rsidRPr="00BA5B62">
        <w:rPr>
          <w:rFonts w:ascii="Times New Roman" w:hAnsi="Times New Roman" w:cs="Times New Roman"/>
        </w:rPr>
        <w:t>may order,</w:t>
      </w:r>
      <w:proofErr w:type="gramEnd"/>
      <w:r w:rsidRPr="00BA5B62">
        <w:rPr>
          <w:rFonts w:ascii="Times New Roman" w:hAnsi="Times New Roman" w:cs="Times New Roman"/>
        </w:rPr>
        <w:t xml:space="preserve"> at any time during a warranty period, monthly maintenance at a Discounted Monthly Extended Warranty amount in lieu of the extended warranty.</w:t>
      </w:r>
    </w:p>
    <w:p w14:paraId="3821D13D"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Software Maintenance / Product Extended Warranty as a Product</w:t>
      </w:r>
    </w:p>
    <w:p w14:paraId="0464F412"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Product and software maintenance, warranty, and licensing shall be treated as a commercial product unless such product is priced on a usage basis; e.g., maintenance on a printer based on usage must be invoiced monthly.</w:t>
      </w:r>
    </w:p>
    <w:p w14:paraId="2FF40106"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Software maintenance as a product includes the publishing of bug/defect fixes via patches and updates/upgrades in function and technology to maintain the operability and usability of the software product. It may also include other no-charge support that is included in the purchase price of the product in the commercial marketplace. No charge support includes items such as user blogs, discussion forums, online help libraries, FAQs (Frequently Asked Questions), hosted chat rooms, and limited telephone, email, and/or web-based general technical support for users’ self-diagnostics.</w:t>
      </w:r>
    </w:p>
    <w:p w14:paraId="3ED81CA5"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Software maintenance as a product does NOT include the creation, design, implementation, integration, etc. of a software package. These examples are considered software maintenance as a service and are to be billed monthly.</w:t>
      </w:r>
    </w:p>
    <w:p w14:paraId="03CFBB24"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Delivery and Acceptance Terms Stated in the Contract</w:t>
      </w:r>
    </w:p>
    <w:p w14:paraId="534AF558"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Delivery orders will identify the exact destination for shipment and warranties, which may be limited to the United States and its possessions. Shipments to United States Government installations located outside the U.S. and its possessions are per mutual agreement between the ordering Government Agency and Contractor.</w:t>
      </w:r>
    </w:p>
    <w:p w14:paraId="7DB323AE" w14:textId="77777777" w:rsidR="00DD05DB" w:rsidRPr="00BA5B62" w:rsidRDefault="00000000">
      <w:pPr>
        <w:pStyle w:val="Heading1"/>
        <w:keepNext/>
        <w:pBdr>
          <w:bottom w:val="single" w:sz="10" w:space="6" w:color="C9A227"/>
        </w:pBdr>
        <w:spacing w:before="300" w:after="160"/>
        <w:rPr>
          <w:rFonts w:ascii="Times New Roman" w:hAnsi="Times New Roman" w:cs="Times New Roman"/>
        </w:rPr>
      </w:pPr>
      <w:r w:rsidRPr="00BA5B62">
        <w:rPr>
          <w:rFonts w:ascii="Times New Roman" w:hAnsi="Times New Roman" w:cs="Times New Roman"/>
          <w:spacing w:val="10"/>
        </w:rPr>
        <w:t>HOW TO TROUBLESHOOT A PROBLEMATIC ORDER</w:t>
      </w:r>
    </w:p>
    <w:p w14:paraId="5C6CCDEF" w14:textId="64A2ED35" w:rsidR="00DD05DB" w:rsidRPr="00BA5B62" w:rsidRDefault="008D4937">
      <w:pPr>
        <w:spacing w:after="130" w:line="270" w:lineRule="auto"/>
        <w:rPr>
          <w:rFonts w:ascii="Times New Roman" w:hAnsi="Times New Roman" w:cs="Times New Roman"/>
        </w:rPr>
      </w:pPr>
      <w:r>
        <w:rPr>
          <w:rFonts w:ascii="Times New Roman" w:hAnsi="Times New Roman" w:cs="Times New Roman"/>
        </w:rPr>
        <w:t>Direct order problems</w:t>
      </w:r>
      <w:r w:rsidR="00000000" w:rsidRPr="00BA5B62">
        <w:rPr>
          <w:rFonts w:ascii="Times New Roman" w:hAnsi="Times New Roman" w:cs="Times New Roman"/>
        </w:rPr>
        <w:t xml:space="preserve"> to the contacts below. Quote the SEWP Tracking Number (STN) or the Agency Order number.</w:t>
      </w:r>
    </w:p>
    <w:tbl>
      <w:tblPr>
        <w:tblW w:w="100" w:type="auto"/>
        <w:tblBorders>
          <w:top w:val="single" w:sz="4" w:space="0" w:color="C3CEDB"/>
          <w:left w:val="none" w:sz="0" w:space="0" w:color="FFFFFF"/>
          <w:bottom w:val="single" w:sz="4" w:space="0" w:color="C3CEDB"/>
          <w:right w:val="none" w:sz="0" w:space="0" w:color="FFFFFF"/>
          <w:insideH w:val="single" w:sz="2" w:space="0" w:color="E3EAF2"/>
          <w:insideV w:val="none" w:sz="0" w:space="0" w:color="FFFFFF"/>
        </w:tblBorders>
        <w:tblCellMar>
          <w:left w:w="10" w:type="dxa"/>
          <w:right w:w="10" w:type="dxa"/>
        </w:tblCellMar>
        <w:tblLook w:val="0000" w:firstRow="0" w:lastRow="0" w:firstColumn="0" w:lastColumn="0" w:noHBand="0" w:noVBand="0"/>
      </w:tblPr>
      <w:tblGrid>
        <w:gridCol w:w="2500"/>
        <w:gridCol w:w="2500"/>
        <w:gridCol w:w="2900"/>
        <w:gridCol w:w="1860"/>
      </w:tblGrid>
      <w:tr w:rsidR="00DD05DB" w:rsidRPr="00BA5B62" w14:paraId="28CD287B" w14:textId="77777777">
        <w:trPr>
          <w:tblHeader/>
        </w:trPr>
        <w:tc>
          <w:tcPr>
            <w:tcW w:w="2500" w:type="dxa"/>
            <w:shd w:val="clear" w:color="auto" w:fill="EAF1F8"/>
            <w:tcMar>
              <w:top w:w="90" w:type="dxa"/>
              <w:left w:w="120" w:type="dxa"/>
              <w:bottom w:w="90" w:type="dxa"/>
              <w:right w:w="120" w:type="dxa"/>
            </w:tcMar>
          </w:tcPr>
          <w:p w14:paraId="55253040"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Step</w:t>
            </w:r>
          </w:p>
        </w:tc>
        <w:tc>
          <w:tcPr>
            <w:tcW w:w="2500" w:type="dxa"/>
            <w:shd w:val="clear" w:color="auto" w:fill="EAF1F8"/>
            <w:tcMar>
              <w:top w:w="90" w:type="dxa"/>
              <w:left w:w="120" w:type="dxa"/>
              <w:bottom w:w="90" w:type="dxa"/>
              <w:right w:w="120" w:type="dxa"/>
            </w:tcMar>
          </w:tcPr>
          <w:p w14:paraId="0EB8ECB5"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Contact</w:t>
            </w:r>
          </w:p>
        </w:tc>
        <w:tc>
          <w:tcPr>
            <w:tcW w:w="2900" w:type="dxa"/>
            <w:shd w:val="clear" w:color="auto" w:fill="EAF1F8"/>
            <w:tcMar>
              <w:top w:w="90" w:type="dxa"/>
              <w:left w:w="120" w:type="dxa"/>
              <w:bottom w:w="90" w:type="dxa"/>
              <w:right w:w="120" w:type="dxa"/>
            </w:tcMar>
          </w:tcPr>
          <w:p w14:paraId="675D8CFB"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Email</w:t>
            </w:r>
          </w:p>
        </w:tc>
        <w:tc>
          <w:tcPr>
            <w:tcW w:w="1860" w:type="dxa"/>
            <w:shd w:val="clear" w:color="auto" w:fill="EAF1F8"/>
            <w:tcMar>
              <w:top w:w="90" w:type="dxa"/>
              <w:left w:w="120" w:type="dxa"/>
              <w:bottom w:w="90" w:type="dxa"/>
              <w:right w:w="120" w:type="dxa"/>
            </w:tcMar>
          </w:tcPr>
          <w:p w14:paraId="0AF65FFD" w14:textId="77777777" w:rsidR="00DD05DB" w:rsidRPr="00BA5B62" w:rsidRDefault="00000000">
            <w:pPr>
              <w:rPr>
                <w:rFonts w:ascii="Times New Roman" w:hAnsi="Times New Roman" w:cs="Times New Roman"/>
              </w:rPr>
            </w:pPr>
            <w:r w:rsidRPr="00BA5B62">
              <w:rPr>
                <w:rFonts w:ascii="Times New Roman" w:hAnsi="Times New Roman" w:cs="Times New Roman"/>
                <w:b/>
                <w:bCs/>
                <w:color w:val="11284B"/>
                <w:sz w:val="18"/>
                <w:szCs w:val="18"/>
              </w:rPr>
              <w:t>Telephone</w:t>
            </w:r>
          </w:p>
        </w:tc>
      </w:tr>
      <w:tr w:rsidR="00DD05DB" w:rsidRPr="00BA5B62" w14:paraId="7879DE8D" w14:textId="77777777">
        <w:tc>
          <w:tcPr>
            <w:tcW w:w="2500" w:type="dxa"/>
            <w:tcMar>
              <w:top w:w="90" w:type="dxa"/>
              <w:left w:w="120" w:type="dxa"/>
              <w:bottom w:w="90" w:type="dxa"/>
              <w:right w:w="120" w:type="dxa"/>
            </w:tcMar>
          </w:tcPr>
          <w:p w14:paraId="6196B9AB"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First contact</w:t>
            </w:r>
          </w:p>
        </w:tc>
        <w:tc>
          <w:tcPr>
            <w:tcW w:w="2500" w:type="dxa"/>
            <w:tcMar>
              <w:top w:w="90" w:type="dxa"/>
              <w:left w:w="120" w:type="dxa"/>
              <w:bottom w:w="90" w:type="dxa"/>
              <w:right w:w="120" w:type="dxa"/>
            </w:tcMar>
          </w:tcPr>
          <w:p w14:paraId="77A4758C" w14:textId="77777777" w:rsidR="008D4937" w:rsidRDefault="008D4937">
            <w:pPr>
              <w:rPr>
                <w:rFonts w:ascii="Times New Roman" w:hAnsi="Times New Roman" w:cs="Times New Roman"/>
                <w:sz w:val="18"/>
                <w:szCs w:val="18"/>
              </w:rPr>
            </w:pPr>
            <w:r w:rsidRPr="00BA5B62">
              <w:rPr>
                <w:rFonts w:ascii="Times New Roman" w:hAnsi="Times New Roman" w:cs="Times New Roman"/>
                <w:sz w:val="18"/>
                <w:szCs w:val="18"/>
              </w:rPr>
              <w:t>Sara Cinotti, SEWP Program Manager</w:t>
            </w:r>
          </w:p>
          <w:p w14:paraId="6E5DBDCB" w14:textId="5CC24E9B" w:rsidR="00DD05DB" w:rsidRPr="00BA5B62" w:rsidRDefault="00DD05DB">
            <w:pPr>
              <w:rPr>
                <w:rFonts w:ascii="Times New Roman" w:hAnsi="Times New Roman" w:cs="Times New Roman"/>
              </w:rPr>
            </w:pPr>
          </w:p>
        </w:tc>
        <w:tc>
          <w:tcPr>
            <w:tcW w:w="2900" w:type="dxa"/>
            <w:tcMar>
              <w:top w:w="90" w:type="dxa"/>
              <w:left w:w="120" w:type="dxa"/>
              <w:bottom w:w="90" w:type="dxa"/>
              <w:right w:w="120" w:type="dxa"/>
            </w:tcMar>
          </w:tcPr>
          <w:p w14:paraId="1D470B6F"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federal@tryfacta.com</w:t>
            </w:r>
          </w:p>
        </w:tc>
        <w:tc>
          <w:tcPr>
            <w:tcW w:w="1860" w:type="dxa"/>
            <w:tcMar>
              <w:top w:w="90" w:type="dxa"/>
              <w:left w:w="120" w:type="dxa"/>
              <w:bottom w:w="90" w:type="dxa"/>
              <w:right w:w="120" w:type="dxa"/>
            </w:tcMar>
          </w:tcPr>
          <w:p w14:paraId="34464377" w14:textId="69A4DD6F" w:rsidR="008D4937" w:rsidRDefault="008D4937">
            <w:pPr>
              <w:rPr>
                <w:rFonts w:ascii="Times New Roman" w:hAnsi="Times New Roman" w:cs="Times New Roman"/>
                <w:sz w:val="18"/>
                <w:szCs w:val="18"/>
              </w:rPr>
            </w:pPr>
            <w:r>
              <w:rPr>
                <w:rFonts w:ascii="Times New Roman" w:hAnsi="Times New Roman" w:cs="Times New Roman"/>
                <w:sz w:val="18"/>
                <w:szCs w:val="18"/>
              </w:rPr>
              <w:t>(</w:t>
            </w:r>
            <w:r w:rsidRPr="00BA5B62">
              <w:rPr>
                <w:rFonts w:ascii="Times New Roman" w:hAnsi="Times New Roman" w:cs="Times New Roman"/>
                <w:sz w:val="18"/>
                <w:szCs w:val="18"/>
              </w:rPr>
              <w:t>703</w:t>
            </w:r>
            <w:r>
              <w:rPr>
                <w:rFonts w:ascii="Times New Roman" w:hAnsi="Times New Roman" w:cs="Times New Roman"/>
                <w:sz w:val="18"/>
                <w:szCs w:val="18"/>
              </w:rPr>
              <w:t xml:space="preserve">) </w:t>
            </w:r>
            <w:r w:rsidRPr="00BA5B62">
              <w:rPr>
                <w:rFonts w:ascii="Times New Roman" w:hAnsi="Times New Roman" w:cs="Times New Roman"/>
                <w:sz w:val="18"/>
                <w:szCs w:val="18"/>
              </w:rPr>
              <w:t>977</w:t>
            </w:r>
            <w:r>
              <w:rPr>
                <w:rFonts w:ascii="Times New Roman" w:hAnsi="Times New Roman" w:cs="Times New Roman"/>
                <w:sz w:val="18"/>
                <w:szCs w:val="18"/>
              </w:rPr>
              <w:t>-</w:t>
            </w:r>
            <w:r w:rsidRPr="00BA5B62">
              <w:rPr>
                <w:rFonts w:ascii="Times New Roman" w:hAnsi="Times New Roman" w:cs="Times New Roman"/>
                <w:sz w:val="18"/>
                <w:szCs w:val="18"/>
              </w:rPr>
              <w:t>1177</w:t>
            </w:r>
          </w:p>
          <w:p w14:paraId="498E7060" w14:textId="4BA51E7E" w:rsidR="00DD05DB" w:rsidRPr="00BA5B62" w:rsidRDefault="00DD05DB">
            <w:pPr>
              <w:rPr>
                <w:rFonts w:ascii="Times New Roman" w:hAnsi="Times New Roman" w:cs="Times New Roman"/>
              </w:rPr>
            </w:pPr>
          </w:p>
        </w:tc>
      </w:tr>
      <w:tr w:rsidR="00DD05DB" w:rsidRPr="00BA5B62" w14:paraId="4987D333" w14:textId="77777777">
        <w:tc>
          <w:tcPr>
            <w:tcW w:w="2500" w:type="dxa"/>
            <w:tcMar>
              <w:top w:w="90" w:type="dxa"/>
              <w:left w:w="120" w:type="dxa"/>
              <w:bottom w:w="90" w:type="dxa"/>
              <w:right w:w="120" w:type="dxa"/>
            </w:tcMar>
          </w:tcPr>
          <w:p w14:paraId="765BB298"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Escalation</w:t>
            </w:r>
          </w:p>
        </w:tc>
        <w:tc>
          <w:tcPr>
            <w:tcW w:w="2500" w:type="dxa"/>
            <w:tcMar>
              <w:top w:w="90" w:type="dxa"/>
              <w:left w:w="120" w:type="dxa"/>
              <w:bottom w:w="90" w:type="dxa"/>
              <w:right w:w="120" w:type="dxa"/>
            </w:tcMar>
          </w:tcPr>
          <w:p w14:paraId="36DF564C" w14:textId="254E67AD" w:rsidR="00DD05DB" w:rsidRPr="00BA5B62" w:rsidRDefault="008D4937">
            <w:pPr>
              <w:rPr>
                <w:rFonts w:ascii="Times New Roman" w:hAnsi="Times New Roman" w:cs="Times New Roman"/>
              </w:rPr>
            </w:pPr>
            <w:r w:rsidRPr="00BA5B62">
              <w:rPr>
                <w:rFonts w:ascii="Times New Roman" w:hAnsi="Times New Roman" w:cs="Times New Roman"/>
                <w:sz w:val="18"/>
                <w:szCs w:val="18"/>
              </w:rPr>
              <w:t>Jatin Khanna, Order &amp; Post-Delivery Support</w:t>
            </w:r>
          </w:p>
        </w:tc>
        <w:tc>
          <w:tcPr>
            <w:tcW w:w="2900" w:type="dxa"/>
            <w:tcMar>
              <w:top w:w="90" w:type="dxa"/>
              <w:left w:w="120" w:type="dxa"/>
              <w:bottom w:w="90" w:type="dxa"/>
              <w:right w:w="120" w:type="dxa"/>
            </w:tcMar>
          </w:tcPr>
          <w:p w14:paraId="30FE7CCC" w14:textId="367465EE" w:rsidR="00DD05DB" w:rsidRPr="00BA5B62" w:rsidRDefault="008D4937">
            <w:pPr>
              <w:rPr>
                <w:rFonts w:ascii="Times New Roman" w:hAnsi="Times New Roman" w:cs="Times New Roman"/>
              </w:rPr>
            </w:pPr>
            <w:r w:rsidRPr="00BA5B62">
              <w:rPr>
                <w:rFonts w:ascii="Times New Roman" w:hAnsi="Times New Roman" w:cs="Times New Roman"/>
                <w:sz w:val="18"/>
                <w:szCs w:val="18"/>
              </w:rPr>
              <w:t>federal@tryfacta.com</w:t>
            </w:r>
          </w:p>
        </w:tc>
        <w:tc>
          <w:tcPr>
            <w:tcW w:w="1860" w:type="dxa"/>
            <w:tcMar>
              <w:top w:w="90" w:type="dxa"/>
              <w:left w:w="120" w:type="dxa"/>
              <w:bottom w:w="90" w:type="dxa"/>
              <w:right w:w="120" w:type="dxa"/>
            </w:tcMar>
          </w:tcPr>
          <w:p w14:paraId="2E067A1F" w14:textId="58C4DAE1" w:rsidR="00DD05DB" w:rsidRPr="00BA5B62" w:rsidRDefault="008D4937">
            <w:pPr>
              <w:rPr>
                <w:rFonts w:ascii="Times New Roman" w:hAnsi="Times New Roman" w:cs="Times New Roman"/>
              </w:rPr>
            </w:pPr>
            <w:r w:rsidRPr="00BA5B62">
              <w:rPr>
                <w:rFonts w:ascii="Times New Roman" w:hAnsi="Times New Roman" w:cs="Times New Roman"/>
                <w:sz w:val="18"/>
                <w:szCs w:val="18"/>
              </w:rPr>
              <w:t>(571) 424-4441</w:t>
            </w:r>
          </w:p>
        </w:tc>
      </w:tr>
      <w:tr w:rsidR="00DD05DB" w:rsidRPr="00BA5B62" w14:paraId="40CC3D38" w14:textId="77777777">
        <w:tc>
          <w:tcPr>
            <w:tcW w:w="2500" w:type="dxa"/>
            <w:tcMar>
              <w:top w:w="90" w:type="dxa"/>
              <w:left w:w="120" w:type="dxa"/>
              <w:bottom w:w="90" w:type="dxa"/>
              <w:right w:w="120" w:type="dxa"/>
            </w:tcMar>
          </w:tcPr>
          <w:p w14:paraId="7ABE207E"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NASA SEWP Helpline</w:t>
            </w:r>
          </w:p>
        </w:tc>
        <w:tc>
          <w:tcPr>
            <w:tcW w:w="2500" w:type="dxa"/>
            <w:tcMar>
              <w:top w:w="90" w:type="dxa"/>
              <w:left w:w="120" w:type="dxa"/>
              <w:bottom w:w="90" w:type="dxa"/>
              <w:right w:w="120" w:type="dxa"/>
            </w:tcMar>
          </w:tcPr>
          <w:p w14:paraId="6AF18139"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SEWP Program Management Office</w:t>
            </w:r>
          </w:p>
        </w:tc>
        <w:tc>
          <w:tcPr>
            <w:tcW w:w="2900" w:type="dxa"/>
            <w:tcMar>
              <w:top w:w="90" w:type="dxa"/>
              <w:left w:w="120" w:type="dxa"/>
              <w:bottom w:w="90" w:type="dxa"/>
              <w:right w:w="120" w:type="dxa"/>
            </w:tcMar>
          </w:tcPr>
          <w:p w14:paraId="4DF766DC"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help@sewp.nasa.gov</w:t>
            </w:r>
          </w:p>
        </w:tc>
        <w:tc>
          <w:tcPr>
            <w:tcW w:w="1860" w:type="dxa"/>
            <w:tcMar>
              <w:top w:w="90" w:type="dxa"/>
              <w:left w:w="120" w:type="dxa"/>
              <w:bottom w:w="90" w:type="dxa"/>
              <w:right w:w="120" w:type="dxa"/>
            </w:tcMar>
          </w:tcPr>
          <w:p w14:paraId="2731E934" w14:textId="77777777" w:rsidR="00DD05DB" w:rsidRPr="00BA5B62" w:rsidRDefault="00000000">
            <w:pPr>
              <w:rPr>
                <w:rFonts w:ascii="Times New Roman" w:hAnsi="Times New Roman" w:cs="Times New Roman"/>
              </w:rPr>
            </w:pPr>
            <w:r w:rsidRPr="00BA5B62">
              <w:rPr>
                <w:rFonts w:ascii="Times New Roman" w:hAnsi="Times New Roman" w:cs="Times New Roman"/>
                <w:sz w:val="18"/>
                <w:szCs w:val="18"/>
              </w:rPr>
              <w:t>(301) 286-1478</w:t>
            </w:r>
          </w:p>
        </w:tc>
      </w:tr>
    </w:tbl>
    <w:p w14:paraId="76555233" w14:textId="77777777" w:rsidR="00DD05DB" w:rsidRPr="00BA5B62" w:rsidRDefault="00DD05DB">
      <w:pPr>
        <w:spacing w:after="180"/>
        <w:rPr>
          <w:rFonts w:ascii="Times New Roman" w:hAnsi="Times New Roman" w:cs="Times New Roman"/>
        </w:rPr>
      </w:pPr>
    </w:p>
    <w:p w14:paraId="423F6BF5" w14:textId="77777777" w:rsidR="00DD05DB" w:rsidRPr="00BA5B62" w:rsidRDefault="00000000">
      <w:pPr>
        <w:pStyle w:val="Heading2"/>
        <w:keepNext/>
        <w:spacing w:before="260" w:after="110"/>
        <w:rPr>
          <w:rFonts w:ascii="Times New Roman" w:hAnsi="Times New Roman" w:cs="Times New Roman"/>
        </w:rPr>
      </w:pPr>
      <w:r w:rsidRPr="00BA5B62">
        <w:rPr>
          <w:rFonts w:ascii="Times New Roman" w:hAnsi="Times New Roman" w:cs="Times New Roman"/>
          <w:spacing w:val="8"/>
        </w:rPr>
        <w:t>Order Modifications</w:t>
      </w:r>
    </w:p>
    <w:p w14:paraId="161D728B" w14:textId="77777777" w:rsidR="00DD05DB" w:rsidRPr="00BA5B62" w:rsidRDefault="00000000">
      <w:pPr>
        <w:spacing w:after="130" w:line="270" w:lineRule="auto"/>
        <w:rPr>
          <w:rFonts w:ascii="Times New Roman" w:hAnsi="Times New Roman" w:cs="Times New Roman"/>
        </w:rPr>
      </w:pPr>
      <w:r w:rsidRPr="00BA5B62">
        <w:rPr>
          <w:rFonts w:ascii="Times New Roman" w:hAnsi="Times New Roman" w:cs="Times New Roman"/>
        </w:rPr>
        <w:t>If modifications are made to any order, these modifications must also route through the SEWP Program Management Office (PMO).</w:t>
      </w:r>
    </w:p>
    <w:p w14:paraId="1A92B989" w14:textId="16D040E5" w:rsidR="00DD05DB" w:rsidRPr="00BA5B62" w:rsidRDefault="00000000" w:rsidP="001251CF">
      <w:pPr>
        <w:spacing w:after="130" w:line="270" w:lineRule="auto"/>
        <w:rPr>
          <w:rFonts w:ascii="Times New Roman" w:hAnsi="Times New Roman" w:cs="Times New Roman"/>
        </w:rPr>
      </w:pPr>
      <w:r w:rsidRPr="00BA5B62">
        <w:rPr>
          <w:rFonts w:ascii="Times New Roman" w:hAnsi="Times New Roman" w:cs="Times New Roman"/>
        </w:rPr>
        <w:t>The price for each delivery order may not be increased except when authorized by a modification to the delivery order. If the Contractor decreases the price of any item ordered, they shall notify the issuing Contracting Officer via e-mail within 2 business days of the price decrease.</w:t>
      </w:r>
    </w:p>
    <w:sectPr w:rsidR="00DD05DB" w:rsidRPr="00BA5B62">
      <w:pgSz w:w="12240" w:h="15840"/>
      <w:pgMar w:top="900" w:right="1240" w:bottom="900" w:left="12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5312A"/>
    <w:multiLevelType w:val="hybridMultilevel"/>
    <w:tmpl w:val="D67CDB9C"/>
    <w:lvl w:ilvl="0" w:tplc="8D1630C2">
      <w:start w:val="1"/>
      <w:numFmt w:val="bullet"/>
      <w:lvlText w:val="●"/>
      <w:lvlJc w:val="left"/>
      <w:pPr>
        <w:ind w:left="720" w:hanging="360"/>
      </w:pPr>
    </w:lvl>
    <w:lvl w:ilvl="1" w:tplc="D794DAEC">
      <w:start w:val="1"/>
      <w:numFmt w:val="bullet"/>
      <w:lvlText w:val="○"/>
      <w:lvlJc w:val="left"/>
      <w:pPr>
        <w:ind w:left="1440" w:hanging="360"/>
      </w:pPr>
    </w:lvl>
    <w:lvl w:ilvl="2" w:tplc="0C3A8670">
      <w:start w:val="1"/>
      <w:numFmt w:val="bullet"/>
      <w:lvlText w:val="■"/>
      <w:lvlJc w:val="left"/>
      <w:pPr>
        <w:ind w:left="2160" w:hanging="360"/>
      </w:pPr>
    </w:lvl>
    <w:lvl w:ilvl="3" w:tplc="DD489250">
      <w:start w:val="1"/>
      <w:numFmt w:val="bullet"/>
      <w:lvlText w:val="●"/>
      <w:lvlJc w:val="left"/>
      <w:pPr>
        <w:ind w:left="2880" w:hanging="360"/>
      </w:pPr>
    </w:lvl>
    <w:lvl w:ilvl="4" w:tplc="6A8AA462">
      <w:start w:val="1"/>
      <w:numFmt w:val="bullet"/>
      <w:lvlText w:val="○"/>
      <w:lvlJc w:val="left"/>
      <w:pPr>
        <w:ind w:left="3600" w:hanging="360"/>
      </w:pPr>
    </w:lvl>
    <w:lvl w:ilvl="5" w:tplc="D0B09836">
      <w:start w:val="1"/>
      <w:numFmt w:val="bullet"/>
      <w:lvlText w:val="■"/>
      <w:lvlJc w:val="left"/>
      <w:pPr>
        <w:ind w:left="4320" w:hanging="360"/>
      </w:pPr>
    </w:lvl>
    <w:lvl w:ilvl="6" w:tplc="D73C986E">
      <w:start w:val="1"/>
      <w:numFmt w:val="bullet"/>
      <w:lvlText w:val="●"/>
      <w:lvlJc w:val="left"/>
      <w:pPr>
        <w:ind w:left="5040" w:hanging="360"/>
      </w:pPr>
    </w:lvl>
    <w:lvl w:ilvl="7" w:tplc="30EAE358">
      <w:start w:val="1"/>
      <w:numFmt w:val="bullet"/>
      <w:lvlText w:val="●"/>
      <w:lvlJc w:val="left"/>
      <w:pPr>
        <w:ind w:left="5760" w:hanging="360"/>
      </w:pPr>
    </w:lvl>
    <w:lvl w:ilvl="8" w:tplc="2EDE48B4">
      <w:start w:val="1"/>
      <w:numFmt w:val="bullet"/>
      <w:lvlText w:val="●"/>
      <w:lvlJc w:val="left"/>
      <w:pPr>
        <w:ind w:left="6480" w:hanging="360"/>
      </w:pPr>
    </w:lvl>
  </w:abstractNum>
  <w:abstractNum w:abstractNumId="1" w15:restartNumberingAfterBreak="0">
    <w:nsid w:val="781D4A20"/>
    <w:multiLevelType w:val="hybridMultilevel"/>
    <w:tmpl w:val="EFC62C40"/>
    <w:lvl w:ilvl="0" w:tplc="E07A66E6">
      <w:start w:val="1"/>
      <w:numFmt w:val="bullet"/>
      <w:lvlText w:val="•"/>
      <w:lvlJc w:val="left"/>
      <w:pPr>
        <w:ind w:left="374" w:hanging="230"/>
      </w:pPr>
    </w:lvl>
    <w:lvl w:ilvl="1" w:tplc="0FC8C308">
      <w:numFmt w:val="decimal"/>
      <w:lvlText w:val=""/>
      <w:lvlJc w:val="left"/>
    </w:lvl>
    <w:lvl w:ilvl="2" w:tplc="A7526FE8">
      <w:numFmt w:val="decimal"/>
      <w:lvlText w:val=""/>
      <w:lvlJc w:val="left"/>
    </w:lvl>
    <w:lvl w:ilvl="3" w:tplc="AD22922E">
      <w:numFmt w:val="decimal"/>
      <w:lvlText w:val=""/>
      <w:lvlJc w:val="left"/>
    </w:lvl>
    <w:lvl w:ilvl="4" w:tplc="6AE0B040">
      <w:numFmt w:val="decimal"/>
      <w:lvlText w:val=""/>
      <w:lvlJc w:val="left"/>
    </w:lvl>
    <w:lvl w:ilvl="5" w:tplc="FCA036AA">
      <w:numFmt w:val="decimal"/>
      <w:lvlText w:val=""/>
      <w:lvlJc w:val="left"/>
    </w:lvl>
    <w:lvl w:ilvl="6" w:tplc="9C4C7984">
      <w:numFmt w:val="decimal"/>
      <w:lvlText w:val=""/>
      <w:lvlJc w:val="left"/>
    </w:lvl>
    <w:lvl w:ilvl="7" w:tplc="3C46CD74">
      <w:numFmt w:val="decimal"/>
      <w:lvlText w:val=""/>
      <w:lvlJc w:val="left"/>
    </w:lvl>
    <w:lvl w:ilvl="8" w:tplc="643CB198">
      <w:numFmt w:val="decimal"/>
      <w:lvlText w:val=""/>
      <w:lvlJc w:val="left"/>
    </w:lvl>
  </w:abstractNum>
  <w:num w:numId="1" w16cid:durableId="897403476">
    <w:abstractNumId w:val="0"/>
    <w:lvlOverride w:ilvl="0">
      <w:startOverride w:val="1"/>
    </w:lvlOverride>
  </w:num>
  <w:num w:numId="2" w16cid:durableId="9740686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5DB"/>
    <w:rsid w:val="001251CF"/>
    <w:rsid w:val="00126C18"/>
    <w:rsid w:val="003907CB"/>
    <w:rsid w:val="00606A1C"/>
    <w:rsid w:val="008D4937"/>
    <w:rsid w:val="00BA5B62"/>
    <w:rsid w:val="00C03B2E"/>
    <w:rsid w:val="00CB09E0"/>
    <w:rsid w:val="00DD05DB"/>
    <w:rsid w:val="00EE3B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124A2"/>
  <w15:docId w15:val="{B91050A2-611B-4229-B8B6-D382B3AC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2323"/>
        <w:sz w:val="19"/>
        <w:szCs w:val="19"/>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1284B"/>
      <w:sz w:val="28"/>
      <w:szCs w:val="28"/>
    </w:rPr>
  </w:style>
  <w:style w:type="paragraph" w:styleId="Heading2">
    <w:name w:val="heading 2"/>
    <w:uiPriority w:val="9"/>
    <w:unhideWhenUsed/>
    <w:qFormat/>
    <w:pPr>
      <w:outlineLvl w:val="1"/>
    </w:pPr>
    <w:rPr>
      <w:b/>
      <w:bCs/>
      <w:color w:val="11284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D4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tin.khanna@tryfacta.com" TargetMode="External"/><Relationship Id="rId3" Type="http://schemas.openxmlformats.org/officeDocument/2006/relationships/settings" Target="settings.xml"/><Relationship Id="rId7" Type="http://schemas.openxmlformats.org/officeDocument/2006/relationships/hyperlink" Target="mailto:Sara.cinotti@tryfac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tryfacta.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lp@sewp.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2423</Words>
  <Characters>14200</Characters>
  <Application>Microsoft Office Word</Application>
  <DocSecurity>0</DocSecurity>
  <Lines>289</Lines>
  <Paragraphs>197</Paragraphs>
  <ScaleCrop>false</ScaleCrop>
  <HeadingPairs>
    <vt:vector size="2" baseType="variant">
      <vt:variant>
        <vt:lpstr>Title</vt:lpstr>
      </vt:variant>
      <vt:variant>
        <vt:i4>1</vt:i4>
      </vt:variant>
    </vt:vector>
  </HeadingPairs>
  <TitlesOfParts>
    <vt:vector size="1" baseType="lpstr">
      <vt:lpstr>Tryfacta NASA SEWP VI Ordering Guide</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Tryfacta NASA SEWP VI Ordering Guide</dc:title>
  <dc:creator>Tryfacta, Inc.</dc:creator>
  <dc:description>SEWP VI Ordering Guide published under Attachment A, A.6 Ordering Guides.</dc:description>
  <cp:lastModifiedBy>Lawlesh Kumar</cp:lastModifiedBy>
  <cp:revision>9</cp:revision>
  <dcterms:created xsi:type="dcterms:W3CDTF">2026-09-11T15:47:00Z</dcterms:created>
  <dcterms:modified xsi:type="dcterms:W3CDTF">2026-09-14T15:03:00Z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d59c2427-8470-443a-943d-264523494d00</vt:lpwstr>
  </property>
</Properties>
</file>