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9B94" w14:textId="77777777" w:rsidR="00A93939" w:rsidRDefault="00A93939" w:rsidP="006C11B1">
      <w:pPr>
        <w:pStyle w:val="Titel"/>
        <w:pBdr>
          <w:bottom w:val="none" w:sz="0" w:space="0" w:color="auto"/>
        </w:pBdr>
        <w:rPr>
          <w:rFonts w:ascii="Aptos Black" w:hAnsi="Aptos Black"/>
          <w:color w:val="auto"/>
          <w:sz w:val="48"/>
          <w:szCs w:val="48"/>
          <w:lang w:val="de-DE"/>
        </w:rPr>
      </w:pPr>
      <w:r>
        <w:rPr>
          <w:rFonts w:ascii="Aptos Black" w:hAnsi="Aptos Black"/>
          <w:noProof/>
          <w:color w:val="auto"/>
          <w:sz w:val="48"/>
          <w:szCs w:val="48"/>
          <w:lang w:val="de-DE"/>
        </w:rPr>
        <w:drawing>
          <wp:inline distT="0" distB="0" distL="0" distR="0" wp14:anchorId="0308D28C" wp14:editId="048209DF">
            <wp:extent cx="5124449" cy="1104900"/>
            <wp:effectExtent l="0" t="0" r="635" b="0"/>
            <wp:docPr id="2280455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45596" name="Grafik 228045596"/>
                    <pic:cNvPicPr/>
                  </pic:nvPicPr>
                  <pic:blipFill rotWithShape="1">
                    <a:blip r:embed="rId6"/>
                    <a:srcRect l="860"/>
                    <a:stretch>
                      <a:fillRect/>
                    </a:stretch>
                  </pic:blipFill>
                  <pic:spPr bwMode="auto">
                    <a:xfrm>
                      <a:off x="0" y="0"/>
                      <a:ext cx="5124713" cy="1104957"/>
                    </a:xfrm>
                    <a:prstGeom prst="rect">
                      <a:avLst/>
                    </a:prstGeom>
                    <a:ln>
                      <a:noFill/>
                    </a:ln>
                    <a:extLst>
                      <a:ext uri="{53640926-AAD7-44D8-BBD7-CCE9431645EC}">
                        <a14:shadowObscured xmlns:a14="http://schemas.microsoft.com/office/drawing/2010/main"/>
                      </a:ext>
                    </a:extLst>
                  </pic:spPr>
                </pic:pic>
              </a:graphicData>
            </a:graphic>
          </wp:inline>
        </w:drawing>
      </w:r>
    </w:p>
    <w:p w14:paraId="02756D89" w14:textId="77777777" w:rsidR="00A93939" w:rsidRDefault="00A93939" w:rsidP="006C11B1">
      <w:pPr>
        <w:pStyle w:val="Titel"/>
        <w:pBdr>
          <w:bottom w:val="none" w:sz="0" w:space="0" w:color="auto"/>
        </w:pBdr>
        <w:spacing w:before="240"/>
        <w:rPr>
          <w:rFonts w:ascii="Aptos Black" w:hAnsi="Aptos Black"/>
          <w:color w:val="auto"/>
          <w:sz w:val="48"/>
          <w:szCs w:val="48"/>
          <w:lang w:val="de-DE"/>
        </w:rPr>
      </w:pPr>
    </w:p>
    <w:p w14:paraId="6DF7E267" w14:textId="77777777" w:rsidR="00A93939" w:rsidRPr="00A93939" w:rsidRDefault="00A93939" w:rsidP="006C11B1">
      <w:pPr>
        <w:pStyle w:val="Titel"/>
        <w:pBdr>
          <w:bottom w:val="none" w:sz="0" w:space="0" w:color="auto"/>
        </w:pBdr>
        <w:spacing w:before="240"/>
        <w:rPr>
          <w:rFonts w:ascii="Aptos Black" w:hAnsi="Aptos Black"/>
          <w:color w:val="auto"/>
          <w:sz w:val="48"/>
          <w:szCs w:val="48"/>
          <w:lang w:val="de-DE"/>
        </w:rPr>
      </w:pPr>
      <w:r w:rsidRPr="00A93939">
        <w:rPr>
          <w:rFonts w:ascii="Aptos Black" w:hAnsi="Aptos Black"/>
          <w:color w:val="auto"/>
          <w:sz w:val="48"/>
          <w:szCs w:val="48"/>
          <w:lang w:val="de-DE"/>
        </w:rPr>
        <w:t>VORLAGE FÜR EINEN AKTIONSPLAN</w:t>
      </w:r>
    </w:p>
    <w:p w14:paraId="59B58E1E" w14:textId="77777777" w:rsidR="00A93939" w:rsidRDefault="00A93939" w:rsidP="006C11B1">
      <w:pPr>
        <w:pStyle w:val="Titel"/>
        <w:pBdr>
          <w:bottom w:val="none" w:sz="0" w:space="0" w:color="auto"/>
        </w:pBdr>
        <w:rPr>
          <w:rFonts w:ascii="Aptos" w:hAnsi="Aptos"/>
          <w:color w:val="auto"/>
          <w:sz w:val="22"/>
          <w:szCs w:val="22"/>
          <w:lang w:val="de-DE"/>
        </w:rPr>
      </w:pPr>
    </w:p>
    <w:p w14:paraId="2519F9AE" w14:textId="77777777" w:rsidR="006C11B1" w:rsidRDefault="006C11B1" w:rsidP="006C11B1">
      <w:pPr>
        <w:pStyle w:val="Titel"/>
        <w:pBdr>
          <w:bottom w:val="none" w:sz="0" w:space="0" w:color="auto"/>
        </w:pBdr>
        <w:rPr>
          <w:rFonts w:ascii="Aptos" w:hAnsi="Aptos"/>
          <w:color w:val="auto"/>
          <w:sz w:val="22"/>
          <w:szCs w:val="22"/>
          <w:lang w:val="de-DE"/>
        </w:rPr>
      </w:pPr>
    </w:p>
    <w:p w14:paraId="708C4773" w14:textId="77777777" w:rsidR="00A93939" w:rsidRDefault="00000000" w:rsidP="006C11B1">
      <w:pPr>
        <w:pStyle w:val="Titel"/>
        <w:pBdr>
          <w:bottom w:val="none" w:sz="0" w:space="0" w:color="auto"/>
        </w:pBdr>
        <w:rPr>
          <w:rFonts w:ascii="Aptos" w:hAnsi="Aptos"/>
          <w:color w:val="auto"/>
          <w:sz w:val="22"/>
          <w:szCs w:val="22"/>
          <w:lang w:val="de-DE"/>
        </w:rPr>
      </w:pPr>
      <w:r w:rsidRPr="00A93939">
        <w:rPr>
          <w:rFonts w:ascii="Aptos" w:hAnsi="Aptos"/>
          <w:color w:val="auto"/>
          <w:sz w:val="22"/>
          <w:szCs w:val="22"/>
          <w:lang w:val="de-DE"/>
        </w:rPr>
        <w:t>Diese Vorlage hilft Ihnen dabei, strategische Entscheidungen aus Vorstandssitzungen in strukturierte, umsetzbare Schritte zu überführen. Sie umfasst alle wichtigen Komponenten eines effektiven Aktionsplans und unterstützt Sie bei der Umsetzung von Initiativen mit klarer Verantwortung und messbaren Ergebnissen</w:t>
      </w:r>
      <w:r w:rsidR="00A93939" w:rsidRPr="00A93939">
        <w:rPr>
          <w:rFonts w:ascii="Aptos" w:hAnsi="Aptos"/>
          <w:color w:val="auto"/>
          <w:sz w:val="22"/>
          <w:szCs w:val="22"/>
          <w:lang w:val="de-DE"/>
        </w:rPr>
        <w:t>.</w:t>
      </w:r>
    </w:p>
    <w:p w14:paraId="509DEC4E" w14:textId="77777777" w:rsidR="006C11B1" w:rsidRPr="006C11B1" w:rsidRDefault="006C11B1" w:rsidP="006C11B1">
      <w:pPr>
        <w:rPr>
          <w:lang w:val="de-DE"/>
        </w:rPr>
      </w:pPr>
    </w:p>
    <w:tbl>
      <w:tblPr>
        <w:tblStyle w:val="Tabellenraster"/>
        <w:tblW w:w="0" w:type="auto"/>
        <w:tblLook w:val="04A0" w:firstRow="1" w:lastRow="0" w:firstColumn="1" w:lastColumn="0" w:noHBand="0" w:noVBand="1"/>
      </w:tblPr>
      <w:tblGrid>
        <w:gridCol w:w="1218"/>
        <w:gridCol w:w="1328"/>
        <w:gridCol w:w="1245"/>
        <w:gridCol w:w="1299"/>
        <w:gridCol w:w="1010"/>
        <w:gridCol w:w="1028"/>
        <w:gridCol w:w="1502"/>
      </w:tblGrid>
      <w:tr w:rsidR="00A93939" w:rsidRPr="00A93939" w14:paraId="33740D2D" w14:textId="77777777" w:rsidTr="00A93939">
        <w:tc>
          <w:tcPr>
            <w:tcW w:w="1251" w:type="dxa"/>
          </w:tcPr>
          <w:p w14:paraId="557F4AF8" w14:textId="77777777" w:rsidR="006E1732" w:rsidRPr="00A93939" w:rsidRDefault="00000000">
            <w:pPr>
              <w:rPr>
                <w:rFonts w:ascii="Aptos" w:hAnsi="Aptos"/>
              </w:rPr>
            </w:pPr>
            <w:r w:rsidRPr="00A93939">
              <w:rPr>
                <w:rFonts w:ascii="Aptos" w:hAnsi="Aptos"/>
              </w:rPr>
              <w:t>Ziel / Maßnahme</w:t>
            </w:r>
          </w:p>
        </w:tc>
        <w:tc>
          <w:tcPr>
            <w:tcW w:w="1363" w:type="dxa"/>
          </w:tcPr>
          <w:p w14:paraId="0F6BF5BF" w14:textId="77777777" w:rsidR="006E1732" w:rsidRPr="00A93939" w:rsidRDefault="00000000">
            <w:pPr>
              <w:rPr>
                <w:rFonts w:ascii="Aptos" w:hAnsi="Aptos"/>
              </w:rPr>
            </w:pPr>
            <w:r w:rsidRPr="00A93939">
              <w:rPr>
                <w:rFonts w:ascii="Aptos" w:hAnsi="Aptos"/>
              </w:rPr>
              <w:t>Beschreibung der Aufgabe</w:t>
            </w:r>
          </w:p>
        </w:tc>
        <w:tc>
          <w:tcPr>
            <w:tcW w:w="1277" w:type="dxa"/>
          </w:tcPr>
          <w:p w14:paraId="3BBF5835" w14:textId="77777777" w:rsidR="006E1732" w:rsidRPr="00A93939" w:rsidRDefault="00000000">
            <w:pPr>
              <w:rPr>
                <w:rFonts w:ascii="Aptos" w:hAnsi="Aptos"/>
              </w:rPr>
            </w:pPr>
            <w:r w:rsidRPr="00A93939">
              <w:rPr>
                <w:rFonts w:ascii="Aptos" w:hAnsi="Aptos"/>
              </w:rPr>
              <w:t>Verantwortlich</w:t>
            </w:r>
          </w:p>
        </w:tc>
        <w:tc>
          <w:tcPr>
            <w:tcW w:w="1333" w:type="dxa"/>
          </w:tcPr>
          <w:p w14:paraId="36A7CF75" w14:textId="77777777" w:rsidR="006E1732" w:rsidRPr="00A93939" w:rsidRDefault="00000000">
            <w:pPr>
              <w:rPr>
                <w:rFonts w:ascii="Aptos" w:hAnsi="Aptos"/>
              </w:rPr>
            </w:pPr>
            <w:r w:rsidRPr="00A93939">
              <w:rPr>
                <w:rFonts w:ascii="Aptos" w:hAnsi="Aptos"/>
              </w:rPr>
              <w:t>Beteiligte Teams / Ressourcen</w:t>
            </w:r>
          </w:p>
        </w:tc>
        <w:tc>
          <w:tcPr>
            <w:tcW w:w="1035" w:type="dxa"/>
          </w:tcPr>
          <w:p w14:paraId="5ECE8C0D" w14:textId="77777777" w:rsidR="006E1732" w:rsidRPr="00A93939" w:rsidRDefault="00000000">
            <w:pPr>
              <w:rPr>
                <w:rFonts w:ascii="Aptos" w:hAnsi="Aptos"/>
              </w:rPr>
            </w:pPr>
            <w:r w:rsidRPr="00A93939">
              <w:rPr>
                <w:rFonts w:ascii="Aptos" w:hAnsi="Aptos"/>
              </w:rPr>
              <w:t>Startdatum</w:t>
            </w:r>
          </w:p>
        </w:tc>
        <w:tc>
          <w:tcPr>
            <w:tcW w:w="1054" w:type="dxa"/>
          </w:tcPr>
          <w:p w14:paraId="34DFB2AE" w14:textId="77777777" w:rsidR="006E1732" w:rsidRPr="00A93939" w:rsidRDefault="00000000">
            <w:pPr>
              <w:rPr>
                <w:rFonts w:ascii="Aptos" w:hAnsi="Aptos"/>
              </w:rPr>
            </w:pPr>
            <w:r w:rsidRPr="00A93939">
              <w:rPr>
                <w:rFonts w:ascii="Aptos" w:hAnsi="Aptos"/>
              </w:rPr>
              <w:t>Frist / Meilenstein</w:t>
            </w:r>
          </w:p>
        </w:tc>
        <w:tc>
          <w:tcPr>
            <w:tcW w:w="1543" w:type="dxa"/>
          </w:tcPr>
          <w:p w14:paraId="04D67C87" w14:textId="77777777" w:rsidR="006E1732" w:rsidRPr="00A93939" w:rsidRDefault="00000000">
            <w:pPr>
              <w:rPr>
                <w:rFonts w:ascii="Aptos" w:hAnsi="Aptos"/>
              </w:rPr>
            </w:pPr>
            <w:r w:rsidRPr="00A93939">
              <w:rPr>
                <w:rFonts w:ascii="Aptos" w:hAnsi="Aptos"/>
              </w:rPr>
              <w:t>KPIs / Erfolgskennzahlen</w:t>
            </w:r>
          </w:p>
        </w:tc>
      </w:tr>
      <w:tr w:rsidR="00A93939" w:rsidRPr="00A93939" w14:paraId="0AF40DBB" w14:textId="77777777" w:rsidTr="00A93939">
        <w:tc>
          <w:tcPr>
            <w:tcW w:w="1251" w:type="dxa"/>
          </w:tcPr>
          <w:p w14:paraId="062A51CA" w14:textId="77777777" w:rsidR="006E1732" w:rsidRPr="00A93939" w:rsidRDefault="00000000">
            <w:pPr>
              <w:rPr>
                <w:rFonts w:ascii="Aptos" w:hAnsi="Aptos"/>
                <w:lang w:val="de-DE"/>
              </w:rPr>
            </w:pPr>
            <w:r w:rsidRPr="00A93939">
              <w:rPr>
                <w:rFonts w:ascii="Aptos" w:hAnsi="Aptos"/>
                <w:lang w:val="de-DE"/>
              </w:rPr>
              <w:t>Beispiel: Einführung eines KI-gestützten Ticketsystems</w:t>
            </w:r>
          </w:p>
        </w:tc>
        <w:tc>
          <w:tcPr>
            <w:tcW w:w="1363" w:type="dxa"/>
          </w:tcPr>
          <w:p w14:paraId="20906F14" w14:textId="77777777" w:rsidR="006E1732" w:rsidRPr="00A93939" w:rsidRDefault="00000000">
            <w:pPr>
              <w:rPr>
                <w:rFonts w:ascii="Aptos" w:hAnsi="Aptos"/>
              </w:rPr>
            </w:pPr>
            <w:r w:rsidRPr="00A93939">
              <w:rPr>
                <w:rFonts w:ascii="Aptos" w:hAnsi="Aptos"/>
              </w:rPr>
              <w:t>System auswählen, schulen, implementieren</w:t>
            </w:r>
          </w:p>
        </w:tc>
        <w:tc>
          <w:tcPr>
            <w:tcW w:w="1277" w:type="dxa"/>
          </w:tcPr>
          <w:p w14:paraId="60020AAF" w14:textId="77777777" w:rsidR="006E1732" w:rsidRPr="00A93939" w:rsidRDefault="00000000">
            <w:pPr>
              <w:rPr>
                <w:rFonts w:ascii="Aptos" w:hAnsi="Aptos"/>
              </w:rPr>
            </w:pPr>
            <w:r w:rsidRPr="00A93939">
              <w:rPr>
                <w:rFonts w:ascii="Aptos" w:hAnsi="Aptos"/>
              </w:rPr>
              <w:t>Leiter IT-Abteilung</w:t>
            </w:r>
          </w:p>
        </w:tc>
        <w:tc>
          <w:tcPr>
            <w:tcW w:w="1333" w:type="dxa"/>
          </w:tcPr>
          <w:p w14:paraId="4960D329" w14:textId="77777777" w:rsidR="006E1732" w:rsidRPr="00A93939" w:rsidRDefault="00000000">
            <w:pPr>
              <w:rPr>
                <w:rFonts w:ascii="Aptos" w:hAnsi="Aptos"/>
              </w:rPr>
            </w:pPr>
            <w:r w:rsidRPr="00A93939">
              <w:rPr>
                <w:rFonts w:ascii="Aptos" w:hAnsi="Aptos"/>
              </w:rPr>
              <w:t>IT, Kundenservice, Einkauf</w:t>
            </w:r>
          </w:p>
        </w:tc>
        <w:tc>
          <w:tcPr>
            <w:tcW w:w="1035" w:type="dxa"/>
          </w:tcPr>
          <w:p w14:paraId="2291A1D7" w14:textId="77777777" w:rsidR="006E1732" w:rsidRPr="00A93939" w:rsidRDefault="00000000">
            <w:pPr>
              <w:rPr>
                <w:rFonts w:ascii="Aptos" w:hAnsi="Aptos"/>
              </w:rPr>
            </w:pPr>
            <w:r w:rsidRPr="00A93939">
              <w:rPr>
                <w:rFonts w:ascii="Aptos" w:hAnsi="Aptos"/>
              </w:rPr>
              <w:t>01.07.2025</w:t>
            </w:r>
          </w:p>
        </w:tc>
        <w:tc>
          <w:tcPr>
            <w:tcW w:w="1054" w:type="dxa"/>
          </w:tcPr>
          <w:p w14:paraId="47FA75B2" w14:textId="77777777" w:rsidR="006E1732" w:rsidRPr="00A93939" w:rsidRDefault="00000000">
            <w:pPr>
              <w:rPr>
                <w:rFonts w:ascii="Aptos" w:hAnsi="Aptos"/>
              </w:rPr>
            </w:pPr>
            <w:r w:rsidRPr="00A93939">
              <w:rPr>
                <w:rFonts w:ascii="Aptos" w:hAnsi="Aptos"/>
              </w:rPr>
              <w:t>31.12.2025</w:t>
            </w:r>
          </w:p>
        </w:tc>
        <w:tc>
          <w:tcPr>
            <w:tcW w:w="1543" w:type="dxa"/>
          </w:tcPr>
          <w:p w14:paraId="6E81F72B" w14:textId="77777777" w:rsidR="006E1732" w:rsidRPr="00A93939" w:rsidRDefault="00000000">
            <w:pPr>
              <w:rPr>
                <w:rFonts w:ascii="Aptos" w:hAnsi="Aptos"/>
              </w:rPr>
            </w:pPr>
            <w:r w:rsidRPr="00A93939">
              <w:rPr>
                <w:rFonts w:ascii="Cambria Math" w:hAnsi="Cambria Math" w:cs="Cambria Math"/>
              </w:rPr>
              <w:t>⟶</w:t>
            </w:r>
            <w:r w:rsidRPr="00A93939">
              <w:rPr>
                <w:rFonts w:ascii="Aptos" w:hAnsi="Aptos"/>
              </w:rPr>
              <w:t xml:space="preserve"> Reaktionszeit &lt; 4 Std</w:t>
            </w:r>
            <w:r w:rsidRPr="00A93939">
              <w:rPr>
                <w:rFonts w:ascii="Aptos" w:hAnsi="Aptos"/>
              </w:rPr>
              <w:br/>
            </w:r>
            <w:r w:rsidRPr="00A93939">
              <w:rPr>
                <w:rFonts w:ascii="Cambria Math" w:hAnsi="Cambria Math" w:cs="Cambria Math"/>
              </w:rPr>
              <w:t>⟶</w:t>
            </w:r>
            <w:r w:rsidRPr="00A93939">
              <w:rPr>
                <w:rFonts w:ascii="Aptos" w:hAnsi="Aptos"/>
              </w:rPr>
              <w:t xml:space="preserve"> Zufriedenheit &gt; 90%</w:t>
            </w:r>
          </w:p>
        </w:tc>
      </w:tr>
      <w:tr w:rsidR="00A93939" w:rsidRPr="00A93939" w14:paraId="73CE45EA" w14:textId="77777777" w:rsidTr="00A93939">
        <w:tc>
          <w:tcPr>
            <w:tcW w:w="1251" w:type="dxa"/>
          </w:tcPr>
          <w:p w14:paraId="4FBF81FE" w14:textId="77777777" w:rsidR="00A93939" w:rsidRPr="00A93939" w:rsidRDefault="00A93939">
            <w:pPr>
              <w:rPr>
                <w:rFonts w:ascii="Aptos" w:hAnsi="Aptos"/>
                <w:lang w:val="de-DE"/>
              </w:rPr>
            </w:pPr>
          </w:p>
        </w:tc>
        <w:tc>
          <w:tcPr>
            <w:tcW w:w="1363" w:type="dxa"/>
          </w:tcPr>
          <w:p w14:paraId="00EADCEC" w14:textId="77777777" w:rsidR="00A93939" w:rsidRPr="00A93939" w:rsidRDefault="00A93939">
            <w:pPr>
              <w:rPr>
                <w:rFonts w:ascii="Aptos" w:hAnsi="Aptos"/>
              </w:rPr>
            </w:pPr>
          </w:p>
        </w:tc>
        <w:tc>
          <w:tcPr>
            <w:tcW w:w="1277" w:type="dxa"/>
          </w:tcPr>
          <w:p w14:paraId="4D29EF93" w14:textId="77777777" w:rsidR="00A93939" w:rsidRPr="00A93939" w:rsidRDefault="00A93939">
            <w:pPr>
              <w:rPr>
                <w:rFonts w:ascii="Aptos" w:hAnsi="Aptos"/>
              </w:rPr>
            </w:pPr>
          </w:p>
        </w:tc>
        <w:tc>
          <w:tcPr>
            <w:tcW w:w="1333" w:type="dxa"/>
          </w:tcPr>
          <w:p w14:paraId="5CD8A9D3" w14:textId="77777777" w:rsidR="00A93939" w:rsidRPr="00A93939" w:rsidRDefault="00A93939">
            <w:pPr>
              <w:rPr>
                <w:rFonts w:ascii="Aptos" w:hAnsi="Aptos"/>
              </w:rPr>
            </w:pPr>
          </w:p>
        </w:tc>
        <w:tc>
          <w:tcPr>
            <w:tcW w:w="1035" w:type="dxa"/>
          </w:tcPr>
          <w:p w14:paraId="7EF7FDA2" w14:textId="77777777" w:rsidR="00A93939" w:rsidRPr="00A93939" w:rsidRDefault="00A93939">
            <w:pPr>
              <w:rPr>
                <w:rFonts w:ascii="Aptos" w:hAnsi="Aptos"/>
              </w:rPr>
            </w:pPr>
          </w:p>
        </w:tc>
        <w:tc>
          <w:tcPr>
            <w:tcW w:w="1054" w:type="dxa"/>
          </w:tcPr>
          <w:p w14:paraId="0ACA24F8" w14:textId="77777777" w:rsidR="00A93939" w:rsidRPr="00A93939" w:rsidRDefault="00A93939">
            <w:pPr>
              <w:rPr>
                <w:rFonts w:ascii="Aptos" w:hAnsi="Aptos"/>
              </w:rPr>
            </w:pPr>
          </w:p>
        </w:tc>
        <w:tc>
          <w:tcPr>
            <w:tcW w:w="1543" w:type="dxa"/>
          </w:tcPr>
          <w:p w14:paraId="07F8EDFA" w14:textId="77777777" w:rsidR="00A93939" w:rsidRPr="00A93939" w:rsidRDefault="00A93939">
            <w:pPr>
              <w:rPr>
                <w:rFonts w:ascii="Cambria Math" w:hAnsi="Cambria Math" w:cs="Cambria Math"/>
              </w:rPr>
            </w:pPr>
          </w:p>
        </w:tc>
      </w:tr>
      <w:tr w:rsidR="00A93939" w:rsidRPr="00A93939" w14:paraId="34C2423F" w14:textId="77777777" w:rsidTr="00A93939">
        <w:tc>
          <w:tcPr>
            <w:tcW w:w="1251" w:type="dxa"/>
          </w:tcPr>
          <w:p w14:paraId="4B5D27C1" w14:textId="77777777" w:rsidR="00A93939" w:rsidRPr="00A93939" w:rsidRDefault="00A93939">
            <w:pPr>
              <w:rPr>
                <w:rFonts w:ascii="Aptos" w:hAnsi="Aptos"/>
                <w:lang w:val="de-DE"/>
              </w:rPr>
            </w:pPr>
          </w:p>
        </w:tc>
        <w:tc>
          <w:tcPr>
            <w:tcW w:w="1363" w:type="dxa"/>
          </w:tcPr>
          <w:p w14:paraId="4FCAF9CB" w14:textId="77777777" w:rsidR="00A93939" w:rsidRPr="00A93939" w:rsidRDefault="00A93939">
            <w:pPr>
              <w:rPr>
                <w:rFonts w:ascii="Aptos" w:hAnsi="Aptos"/>
              </w:rPr>
            </w:pPr>
          </w:p>
        </w:tc>
        <w:tc>
          <w:tcPr>
            <w:tcW w:w="1277" w:type="dxa"/>
          </w:tcPr>
          <w:p w14:paraId="38DDC30E" w14:textId="77777777" w:rsidR="00A93939" w:rsidRPr="00A93939" w:rsidRDefault="00A93939">
            <w:pPr>
              <w:rPr>
                <w:rFonts w:ascii="Aptos" w:hAnsi="Aptos"/>
              </w:rPr>
            </w:pPr>
          </w:p>
        </w:tc>
        <w:tc>
          <w:tcPr>
            <w:tcW w:w="1333" w:type="dxa"/>
          </w:tcPr>
          <w:p w14:paraId="2E90AF8D" w14:textId="77777777" w:rsidR="00A93939" w:rsidRPr="00A93939" w:rsidRDefault="00A93939">
            <w:pPr>
              <w:rPr>
                <w:rFonts w:ascii="Aptos" w:hAnsi="Aptos"/>
              </w:rPr>
            </w:pPr>
          </w:p>
        </w:tc>
        <w:tc>
          <w:tcPr>
            <w:tcW w:w="1035" w:type="dxa"/>
          </w:tcPr>
          <w:p w14:paraId="7FAB884A" w14:textId="77777777" w:rsidR="00A93939" w:rsidRPr="00A93939" w:rsidRDefault="00A93939">
            <w:pPr>
              <w:rPr>
                <w:rFonts w:ascii="Aptos" w:hAnsi="Aptos"/>
              </w:rPr>
            </w:pPr>
          </w:p>
        </w:tc>
        <w:tc>
          <w:tcPr>
            <w:tcW w:w="1054" w:type="dxa"/>
          </w:tcPr>
          <w:p w14:paraId="72987771" w14:textId="77777777" w:rsidR="00A93939" w:rsidRPr="00A93939" w:rsidRDefault="00A93939">
            <w:pPr>
              <w:rPr>
                <w:rFonts w:ascii="Aptos" w:hAnsi="Aptos"/>
              </w:rPr>
            </w:pPr>
          </w:p>
        </w:tc>
        <w:tc>
          <w:tcPr>
            <w:tcW w:w="1543" w:type="dxa"/>
          </w:tcPr>
          <w:p w14:paraId="5E2B0DEE" w14:textId="77777777" w:rsidR="00A93939" w:rsidRPr="00A93939" w:rsidRDefault="00A93939">
            <w:pPr>
              <w:rPr>
                <w:rFonts w:ascii="Cambria Math" w:hAnsi="Cambria Math" w:cs="Cambria Math"/>
              </w:rPr>
            </w:pPr>
          </w:p>
        </w:tc>
      </w:tr>
    </w:tbl>
    <w:p w14:paraId="1B743C1D" w14:textId="77777777" w:rsidR="00A93939" w:rsidRDefault="00A93939" w:rsidP="00A93939">
      <w:pPr>
        <w:pStyle w:val="berschrift2"/>
        <w:rPr>
          <w:rFonts w:ascii="Aptos" w:hAnsi="Aptos"/>
          <w:color w:val="auto"/>
          <w:sz w:val="22"/>
          <w:szCs w:val="22"/>
          <w:lang w:val="de-DE"/>
        </w:rPr>
      </w:pPr>
    </w:p>
    <w:p w14:paraId="5532D41D" w14:textId="77777777" w:rsidR="00A93939" w:rsidRPr="00A93939" w:rsidRDefault="00000000" w:rsidP="00A93939">
      <w:pPr>
        <w:pStyle w:val="berschrift2"/>
        <w:rPr>
          <w:rFonts w:ascii="Aptos" w:hAnsi="Aptos"/>
          <w:color w:val="auto"/>
          <w:sz w:val="22"/>
          <w:szCs w:val="22"/>
          <w:lang w:val="de-DE"/>
        </w:rPr>
      </w:pPr>
      <w:r w:rsidRPr="00A93939">
        <w:rPr>
          <w:rFonts w:ascii="Aptos" w:hAnsi="Aptos"/>
          <w:color w:val="auto"/>
          <w:sz w:val="22"/>
          <w:szCs w:val="22"/>
          <w:lang w:val="de-DE"/>
        </w:rPr>
        <w:t>Monitoring &amp; Fortschrittsüberprüfung</w:t>
      </w:r>
    </w:p>
    <w:p w14:paraId="1A00437D" w14:textId="77777777" w:rsidR="006E1732" w:rsidRPr="00A93939" w:rsidRDefault="00000000" w:rsidP="00A93939">
      <w:pPr>
        <w:pStyle w:val="berschrift2"/>
        <w:rPr>
          <w:rFonts w:ascii="Aptos" w:hAnsi="Aptos"/>
          <w:color w:val="auto"/>
          <w:sz w:val="22"/>
          <w:szCs w:val="22"/>
          <w:lang w:val="de-DE"/>
        </w:rPr>
      </w:pPr>
      <w:r w:rsidRPr="00A93939">
        <w:rPr>
          <w:rFonts w:ascii="Aptos" w:hAnsi="Aptos"/>
          <w:b w:val="0"/>
          <w:bCs w:val="0"/>
          <w:color w:val="auto"/>
          <w:sz w:val="22"/>
          <w:szCs w:val="22"/>
          <w:lang w:val="de-DE"/>
        </w:rPr>
        <w:t>Notizen zu Status-Updates, identifizierten Risiken, Anpassungen im Plan und Kommentaren der Verantwortlichen.</w:t>
      </w:r>
    </w:p>
    <w:p w14:paraId="1729DBEB" w14:textId="77777777" w:rsidR="006E1732" w:rsidRPr="00A93939" w:rsidRDefault="00000000" w:rsidP="00A93939">
      <w:pPr>
        <w:spacing w:before="200" w:after="0"/>
        <w:rPr>
          <w:rFonts w:ascii="Aptos" w:hAnsi="Aptos"/>
          <w:lang w:val="de-DE"/>
        </w:rPr>
      </w:pPr>
      <w:r w:rsidRPr="00A93939">
        <w:rPr>
          <w:rFonts w:ascii="Aptos" w:hAnsi="Aptos"/>
          <w:lang w:val="de-DE"/>
        </w:rPr>
        <w:t xml:space="preserve">Datum: </w:t>
      </w:r>
    </w:p>
    <w:p w14:paraId="3BE6811E" w14:textId="77777777" w:rsidR="006E1732" w:rsidRPr="00A93939" w:rsidRDefault="00000000" w:rsidP="00A93939">
      <w:pPr>
        <w:spacing w:before="200" w:after="0"/>
        <w:rPr>
          <w:rFonts w:ascii="Aptos" w:hAnsi="Aptos"/>
          <w:lang w:val="de-DE"/>
        </w:rPr>
      </w:pPr>
      <w:r w:rsidRPr="00A93939">
        <w:rPr>
          <w:rFonts w:ascii="Aptos" w:hAnsi="Aptos"/>
          <w:lang w:val="de-DE"/>
        </w:rPr>
        <w:t xml:space="preserve">Kommentar: </w:t>
      </w:r>
    </w:p>
    <w:p w14:paraId="14F41EF6" w14:textId="77777777" w:rsidR="006E1732" w:rsidRDefault="00000000">
      <w:pPr>
        <w:rPr>
          <w:rFonts w:ascii="Aptos" w:hAnsi="Aptos"/>
          <w:lang w:val="de-DE"/>
        </w:rPr>
      </w:pPr>
      <w:r w:rsidRPr="00A93939">
        <w:rPr>
          <w:rFonts w:ascii="Aptos" w:hAnsi="Aptos"/>
          <w:lang w:val="de-DE"/>
        </w:rPr>
        <w:br/>
        <w:t>Diese Vorlage kann für jede strategische Initiative angepasst und erweitert werden. Sie dient der Strukturierung, Klarheit und Rechenschaft im Rahmen von Umsetzungsprozessen.</w:t>
      </w:r>
    </w:p>
    <w:p w14:paraId="74548CA5" w14:textId="77777777" w:rsidR="00A93939" w:rsidRDefault="00A93939">
      <w:pPr>
        <w:rPr>
          <w:rFonts w:ascii="Aptos" w:hAnsi="Aptos"/>
          <w:lang w:val="de-DE"/>
        </w:rPr>
      </w:pPr>
    </w:p>
    <w:p w14:paraId="6AA48881" w14:textId="77777777" w:rsidR="00A93939" w:rsidRPr="00AF37B6" w:rsidRDefault="00A93939" w:rsidP="00A93939">
      <w:pPr>
        <w:rPr>
          <w:rFonts w:ascii="Aptos" w:hAnsi="Aptos"/>
          <w:b/>
          <w:bCs/>
          <w:lang w:val="de-DE"/>
        </w:rPr>
      </w:pPr>
      <w:r w:rsidRPr="00AF37B6">
        <w:rPr>
          <w:rFonts w:ascii="Aptos" w:hAnsi="Aptos"/>
          <w:b/>
          <w:bCs/>
          <w:lang w:val="de-DE"/>
        </w:rPr>
        <w:t>Tipp</w:t>
      </w:r>
    </w:p>
    <w:p w14:paraId="4515B2BA" w14:textId="77777777" w:rsidR="00A93939" w:rsidRPr="009641CC" w:rsidRDefault="00A93939" w:rsidP="00A93939">
      <w:pPr>
        <w:rPr>
          <w:rFonts w:ascii="Aptos" w:hAnsi="Aptos"/>
          <w:lang w:val="de-DE"/>
        </w:rPr>
      </w:pPr>
      <w:r w:rsidRPr="009641CC">
        <w:rPr>
          <w:rFonts w:ascii="Aptos" w:hAnsi="Aptos"/>
          <w:lang w:val="de-DE"/>
        </w:rPr>
        <w:t>Nutzen Sie digitale Tools wie Boardwise, um Agenden automatisch zu erstellen, zu teilen und Ergebnisse nachzuverfolgen – für mehr Effizienz und Klarheit in Ihrer Teamarbeit.</w:t>
      </w:r>
    </w:p>
    <w:p w14:paraId="6C7658B1" w14:textId="77777777" w:rsidR="00A93939" w:rsidRPr="009641CC" w:rsidRDefault="00A93939" w:rsidP="00A93939">
      <w:pPr>
        <w:rPr>
          <w:rFonts w:ascii="Aptos" w:hAnsi="Aptos"/>
          <w:lang w:val="de-DE"/>
        </w:rPr>
      </w:pPr>
    </w:p>
    <w:p w14:paraId="13357750" w14:textId="77777777" w:rsidR="00A93939" w:rsidRPr="00AF37B6" w:rsidRDefault="00A93939" w:rsidP="00A93939">
      <w:pPr>
        <w:rPr>
          <w:rFonts w:ascii="Aptos" w:hAnsi="Aptos"/>
          <w:b/>
          <w:bCs/>
          <w:lang w:val="de-DE"/>
        </w:rPr>
      </w:pPr>
      <w:r w:rsidRPr="00AF37B6">
        <w:rPr>
          <w:rFonts w:ascii="Aptos" w:hAnsi="Aptos"/>
          <w:b/>
          <w:bCs/>
          <w:lang w:val="de-DE"/>
        </w:rPr>
        <w:t>Was macht Boardwise?</w:t>
      </w:r>
    </w:p>
    <w:p w14:paraId="052EF907" w14:textId="77777777" w:rsidR="00A93939" w:rsidRPr="00AF37B6" w:rsidRDefault="00A93939" w:rsidP="00A93939">
      <w:pPr>
        <w:rPr>
          <w:rFonts w:ascii="Aptos" w:hAnsi="Aptos"/>
          <w:lang w:val="de-DE"/>
        </w:rPr>
      </w:pPr>
      <w:r w:rsidRPr="00AF37B6">
        <w:rPr>
          <w:rFonts w:ascii="Aptos" w:hAnsi="Aptos"/>
          <w:lang w:val="de-DE"/>
        </w:rPr>
        <w:t>Boardwise ist Ihr in MS365 integriertes All-in-One-Board-Management-Tool. Es wurde in den Chefetagen verschiedener DAX-Unternehmen entwickelt, darunter Henkel und E.ON. Boardwise ist heute die bevorzugte Lösung von Microsoft und wird in allen Branchen und Unternehmensgrößen eingesetzt.</w:t>
      </w:r>
    </w:p>
    <w:p w14:paraId="76144786" w14:textId="77777777" w:rsidR="00A93939" w:rsidRPr="00A93939" w:rsidRDefault="00A93939">
      <w:pPr>
        <w:rPr>
          <w:rFonts w:ascii="Aptos" w:hAnsi="Aptos"/>
          <w:lang w:val="de-DE"/>
        </w:rPr>
      </w:pPr>
    </w:p>
    <w:sectPr w:rsidR="00A93939" w:rsidRPr="00A9393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Black">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317420276">
    <w:abstractNumId w:val="8"/>
  </w:num>
  <w:num w:numId="2" w16cid:durableId="1749495394">
    <w:abstractNumId w:val="6"/>
  </w:num>
  <w:num w:numId="3" w16cid:durableId="2094160896">
    <w:abstractNumId w:val="5"/>
  </w:num>
  <w:num w:numId="4" w16cid:durableId="1972898318">
    <w:abstractNumId w:val="4"/>
  </w:num>
  <w:num w:numId="5" w16cid:durableId="1713651356">
    <w:abstractNumId w:val="7"/>
  </w:num>
  <w:num w:numId="6" w16cid:durableId="1308245189">
    <w:abstractNumId w:val="3"/>
  </w:num>
  <w:num w:numId="7" w16cid:durableId="1682856059">
    <w:abstractNumId w:val="2"/>
  </w:num>
  <w:num w:numId="8" w16cid:durableId="93867956">
    <w:abstractNumId w:val="1"/>
  </w:num>
  <w:num w:numId="9" w16cid:durableId="136540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45"/>
    <w:rsid w:val="00034616"/>
    <w:rsid w:val="0006063C"/>
    <w:rsid w:val="0015074B"/>
    <w:rsid w:val="0029639D"/>
    <w:rsid w:val="00326F90"/>
    <w:rsid w:val="0069392E"/>
    <w:rsid w:val="006C11B1"/>
    <w:rsid w:val="006D4E45"/>
    <w:rsid w:val="006E1732"/>
    <w:rsid w:val="00A93939"/>
    <w:rsid w:val="00AA1D8D"/>
    <w:rsid w:val="00B47730"/>
    <w:rsid w:val="00CB0664"/>
    <w:rsid w:val="00D674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C4710"/>
  <w14:defaultImageDpi w14:val="300"/>
  <w15:docId w15:val="{D8884A5C-0CA3-5847-97C4-3965C2F6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rieger/Downloads/Vorlage%20Aktions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Aktionsplan (2).dotx</Template>
  <TotalTime>0</TotalTime>
  <Pages>2</Pages>
  <Words>212</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Rieger</dc:creator>
  <cp:keywords/>
  <dc:description>generated by python-docx</dc:description>
  <cp:lastModifiedBy>Laura Rieger</cp:lastModifiedBy>
  <cp:revision>1</cp:revision>
  <dcterms:created xsi:type="dcterms:W3CDTF">2025-07-10T13:35:00Z</dcterms:created>
  <dcterms:modified xsi:type="dcterms:W3CDTF">2025-07-10T13:35:00Z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94c31f-11f1-4e16-87ad-f3d5a832b13d_Enabled">
    <vt:lpwstr>true</vt:lpwstr>
  </property>
  <property fmtid="{D5CDD505-2E9C-101B-9397-08002B2CF9AE}" pid="3" name="MSIP_Label_0994c31f-11f1-4e16-87ad-f3d5a832b13d_SetDate">
    <vt:lpwstr>2025-06-06T07:44:22Z</vt:lpwstr>
  </property>
  <property fmtid="{D5CDD505-2E9C-101B-9397-08002B2CF9AE}" pid="4" name="MSIP_Label_0994c31f-11f1-4e16-87ad-f3d5a832b13d_Method">
    <vt:lpwstr>Standard</vt:lpwstr>
  </property>
  <property fmtid="{D5CDD505-2E9C-101B-9397-08002B2CF9AE}" pid="5" name="MSIP_Label_0994c31f-11f1-4e16-87ad-f3d5a832b13d_Name">
    <vt:lpwstr>Internal</vt:lpwstr>
  </property>
  <property fmtid="{D5CDD505-2E9C-101B-9397-08002B2CF9AE}" pid="6" name="MSIP_Label_0994c31f-11f1-4e16-87ad-f3d5a832b13d_SiteId">
    <vt:lpwstr>cbb051d1-3919-4b06-8130-7d2fdb5af71f</vt:lpwstr>
  </property>
  <property fmtid="{D5CDD505-2E9C-101B-9397-08002B2CF9AE}" pid="7" name="MSIP_Label_0994c31f-11f1-4e16-87ad-f3d5a832b13d_ActionId">
    <vt:lpwstr>e1a34b03-f5e4-402c-a530-93d0fd13c1f8</vt:lpwstr>
  </property>
  <property fmtid="{D5CDD505-2E9C-101B-9397-08002B2CF9AE}" pid="8" name="MSIP_Label_0994c31f-11f1-4e16-87ad-f3d5a832b13d_ContentBits">
    <vt:lpwstr>0</vt:lpwstr>
  </property>
  <property fmtid="{D5CDD505-2E9C-101B-9397-08002B2CF9AE}" pid="9" name="MSIP_Label_0994c31f-11f1-4e16-87ad-f3d5a832b13d_Tag">
    <vt:lpwstr>10, 3, 0, 1</vt:lpwstr>
  </property>
</Properties>
</file>