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777ED" w:rsidRDefault="00000000">
      <w:r>
        <w:rPr>
          <w:b/>
          <w:bCs/>
          <w:color w:val="1F3864"/>
          <w:sz w:val="28"/>
          <w:szCs w:val="28"/>
        </w:rPr>
        <w:t>[Practice / Organization Name]</w:t>
      </w:r>
    </w:p>
    <w:p w14:paraId="00000002" w14:textId="77777777" w:rsidR="000777ED" w:rsidRDefault="00000000">
      <w:r>
        <w:rPr>
          <w:color w:val="595959"/>
          <w:sz w:val="20"/>
          <w:szCs w:val="20"/>
        </w:rPr>
        <w:t>[Street Address] | [City, State ZIP]</w:t>
      </w:r>
    </w:p>
    <w:p w14:paraId="00000003" w14:textId="77777777" w:rsidR="000777ED" w:rsidRDefault="00000000">
      <w:pPr>
        <w:pBdr>
          <w:bottom w:val="single" w:sz="8" w:space="4" w:color="1F3864"/>
        </w:pBdr>
        <w:spacing w:after="240"/>
      </w:pPr>
      <w:r>
        <w:rPr>
          <w:color w:val="595959"/>
          <w:sz w:val="20"/>
          <w:szCs w:val="20"/>
        </w:rPr>
        <w:t>[Phone] | [Email] | [NPI]</w:t>
      </w:r>
    </w:p>
    <w:p w14:paraId="00000004" w14:textId="77777777" w:rsidR="000777ED" w:rsidRDefault="00000000">
      <w:pPr>
        <w:spacing w:after="160" w:line="280" w:lineRule="auto"/>
      </w:pPr>
      <w:r>
        <w:t>[Date]</w:t>
      </w:r>
    </w:p>
    <w:p w14:paraId="00000005" w14:textId="77777777" w:rsidR="000777ED" w:rsidRDefault="00000000">
      <w:pPr>
        <w:spacing w:after="160" w:line="280" w:lineRule="auto"/>
      </w:pPr>
      <w:r>
        <w:t>[Health Plan Medical Director]</w:t>
      </w:r>
    </w:p>
    <w:p w14:paraId="00000006" w14:textId="77777777" w:rsidR="000777ED" w:rsidRDefault="00000000">
      <w:pPr>
        <w:spacing w:after="160" w:line="280" w:lineRule="auto"/>
      </w:pPr>
      <w:r>
        <w:t>[Health Plan Name]</w:t>
      </w:r>
    </w:p>
    <w:p w14:paraId="00000007" w14:textId="77777777" w:rsidR="000777ED" w:rsidRDefault="00000000">
      <w:pPr>
        <w:spacing w:after="160" w:line="280" w:lineRule="auto"/>
      </w:pPr>
      <w:r>
        <w:t>[Street Address, City, State ZIP]</w:t>
      </w:r>
    </w:p>
    <w:p w14:paraId="00000008" w14:textId="77777777" w:rsidR="000777ED" w:rsidRDefault="00000000">
      <w:pPr>
        <w:spacing w:before="160" w:after="240"/>
      </w:pPr>
      <w:r>
        <w:rPr>
          <w:b/>
          <w:bCs/>
        </w:rPr>
        <w:t>Re:  Coverage Request — Luminopia (FDA-Cleared Pediatric Amblyopia Therapy)</w:t>
      </w:r>
    </w:p>
    <w:p w14:paraId="00000009" w14:textId="77777777" w:rsidR="000777ED" w:rsidRDefault="00000000">
      <w:pPr>
        <w:spacing w:after="160" w:line="280" w:lineRule="auto"/>
      </w:pPr>
      <w:r>
        <w:t>Dear Medical Director:</w:t>
      </w:r>
    </w:p>
    <w:p w14:paraId="0000000A" w14:textId="77777777" w:rsidR="000777ED" w:rsidRDefault="00000000">
      <w:pPr>
        <w:spacing w:after="160" w:line="280" w:lineRule="auto"/>
      </w:pPr>
      <w:r>
        <w:t xml:space="preserve">On behalf of [Practice or Organization Name], we respectfully request that [Health Plan] establish formal medical-policy coverage for </w:t>
      </w:r>
      <w:r>
        <w:rPr>
          <w:b/>
          <w:bCs/>
        </w:rPr>
        <w:t>Luminopia</w:t>
      </w:r>
      <w:r>
        <w:t xml:space="preserve">, an FDA-cleared digital therapeutic for pediatric amblyopia, for </w:t>
      </w:r>
      <w:r>
        <w:rPr>
          <w:b/>
          <w:bCs/>
        </w:rPr>
        <w:t>all medically appropriate patients</w:t>
      </w:r>
      <w:r>
        <w:t xml:space="preserve"> in your covered population. Luminopia is the only new amblyopia therapy cleared by the FDA in nearly 15 years.</w:t>
      </w:r>
    </w:p>
    <w:p w14:paraId="0000000B" w14:textId="77777777" w:rsidR="000777ED" w:rsidRDefault="00000000">
      <w:pPr>
        <w:spacing w:after="160" w:line="280" w:lineRule="auto"/>
      </w:pPr>
      <w:r>
        <w:t xml:space="preserve">Luminopia is indicated for the improvement of visual acuity in amblyopia patients aged </w:t>
      </w:r>
      <w:r>
        <w:rPr>
          <w:b/>
          <w:bCs/>
        </w:rPr>
        <w:t>4 to &lt;13 years</w:t>
      </w:r>
      <w:r>
        <w:t xml:space="preserve"> associated with anisometropia and/or with mild strabismus.</w:t>
      </w:r>
      <w:r>
        <w:rPr>
          <w:vertAlign w:val="superscript"/>
        </w:rPr>
        <w:t>1</w:t>
      </w:r>
      <w:r>
        <w:t xml:space="preserve"> The original 4 to &lt;8 indication was expanded by the FDA in 2024 to include children </w:t>
      </w:r>
      <w:r>
        <w:rPr>
          <w:b/>
          <w:bCs/>
        </w:rPr>
        <w:t>8 to &lt;13</w:t>
      </w:r>
      <w:r>
        <w:t>, reflecting evidence of benefit beyond the historical neuroplasticity window.</w:t>
      </w:r>
      <w:r>
        <w:rPr>
          <w:vertAlign w:val="superscript"/>
        </w:rPr>
        <w:t>1</w:t>
      </w:r>
    </w:p>
    <w:p w14:paraId="0000000C" w14:textId="77777777" w:rsidR="000777ED" w:rsidRDefault="00000000">
      <w:pPr>
        <w:pBdr>
          <w:bottom w:val="single" w:sz="6" w:space="4" w:color="1F3864"/>
        </w:pBdr>
        <w:spacing w:before="240" w:after="120"/>
      </w:pPr>
      <w:r>
        <w:rPr>
          <w:b/>
          <w:bCs/>
          <w:color w:val="1F3864"/>
          <w:sz w:val="24"/>
          <w:szCs w:val="24"/>
        </w:rPr>
        <w:t>Clinical Background</w:t>
      </w:r>
    </w:p>
    <w:p w14:paraId="0000000D" w14:textId="77777777" w:rsidR="000777ED" w:rsidRDefault="00000000">
      <w:pPr>
        <w:spacing w:after="160" w:line="280" w:lineRule="auto"/>
      </w:pPr>
      <w:r>
        <w:t>Amblyopia is the leading cause of monocular vision loss in children, affecting approximately 3% of the U.S. pediatric population. It is a neuro-developmental visual disorder in which the visual cortex suppresses input from the weaker eye, driven by unequal refractive errors between the eyes (anisometropia) or by ocular misalignment (strabismus). Untreated, amblyopia results in permanent visual impairment and is associated with elevated lifetime risk of bilateral visual impairment.</w:t>
      </w:r>
      <w:r>
        <w:rPr>
          <w:vertAlign w:val="superscript"/>
        </w:rPr>
        <w:t>2</w:t>
      </w:r>
    </w:p>
    <w:p w14:paraId="0000000E" w14:textId="77777777" w:rsidR="000777ED" w:rsidRDefault="00000000">
      <w:pPr>
        <w:spacing w:after="160" w:line="280" w:lineRule="auto"/>
      </w:pPr>
      <w:r>
        <w:t>Beyond visual acuity loss, amblyopia carries significant quality-of-life burden, including deficits in physical function and fine motor skills; slower reading speed and lower rates of secondary-education completion; and an increased incidence of anxiety, depression, and other behavioral health conditions.</w:t>
      </w:r>
      <w:r>
        <w:rPr>
          <w:vertAlign w:val="superscript"/>
        </w:rPr>
        <w:t>3,4</w:t>
      </w:r>
    </w:p>
    <w:p w14:paraId="0000000F" w14:textId="77777777" w:rsidR="000777ED" w:rsidRDefault="00000000">
      <w:pPr>
        <w:spacing w:after="160" w:line="280" w:lineRule="auto"/>
      </w:pPr>
      <w:r>
        <w:t>Cortical neuroplasticity supporting amblyopia treatment response begins to decline around age 7,</w:t>
      </w:r>
      <w:r>
        <w:rPr>
          <w:vertAlign w:val="superscript"/>
        </w:rPr>
        <w:t>5</w:t>
      </w:r>
      <w:r>
        <w:t xml:space="preserve"> creating a time-limited window for effective intervention. Conventional therapies — occlusion (patching) and atropine penalization — are constrained by adherence challenges</w:t>
      </w:r>
      <w:r>
        <w:rPr>
          <w:vertAlign w:val="superscript"/>
        </w:rPr>
        <w:t>6,7</w:t>
      </w:r>
      <w:r>
        <w:t xml:space="preserve"> and by treatment failure: approximately 75% of patched patients are left with a residual visual deficit.</w:t>
      </w:r>
      <w:r>
        <w:rPr>
          <w:vertAlign w:val="superscript"/>
        </w:rPr>
        <w:t>8</w:t>
      </w:r>
      <w:r>
        <w:t xml:space="preserve"> Patients who fail or cannot tolerate patching or atropine have historically had no further approved option.</w:t>
      </w:r>
    </w:p>
    <w:p w14:paraId="00000010" w14:textId="77777777" w:rsidR="000777ED" w:rsidRDefault="00000000">
      <w:pPr>
        <w:pBdr>
          <w:bottom w:val="single" w:sz="6" w:space="4" w:color="1F3864"/>
        </w:pBdr>
        <w:spacing w:before="240" w:after="120"/>
      </w:pPr>
      <w:r>
        <w:rPr>
          <w:b/>
          <w:bCs/>
          <w:color w:val="1F3864"/>
          <w:sz w:val="24"/>
          <w:szCs w:val="24"/>
        </w:rPr>
        <w:t>Clinical Evidence Supporting Luminopia</w:t>
      </w:r>
    </w:p>
    <w:p w14:paraId="00000011" w14:textId="77777777" w:rsidR="000777ED" w:rsidRDefault="00000000">
      <w:pPr>
        <w:spacing w:before="80" w:after="80"/>
      </w:pPr>
      <w:r>
        <w:rPr>
          <w:b/>
          <w:bCs/>
        </w:rPr>
        <w:lastRenderedPageBreak/>
        <w:t xml:space="preserve">Pivotal randomized trial — Xiao et al., </w:t>
      </w:r>
      <w:r>
        <w:rPr>
          <w:b/>
          <w:bCs/>
          <w:i/>
          <w:iCs/>
        </w:rPr>
        <w:t>Ophthalmology</w:t>
      </w:r>
      <w:r>
        <w:rPr>
          <w:b/>
          <w:bCs/>
        </w:rPr>
        <w:t xml:space="preserve"> (2022)</w:t>
      </w:r>
      <w:r>
        <w:rPr>
          <w:vertAlign w:val="superscript"/>
        </w:rPr>
        <w:t>9</w:t>
      </w:r>
    </w:p>
    <w:p w14:paraId="00000012" w14:textId="77777777" w:rsidR="000777ED" w:rsidRDefault="00000000">
      <w:pPr>
        <w:numPr>
          <w:ilvl w:val="0"/>
          <w:numId w:val="1"/>
        </w:numPr>
        <w:pBdr>
          <w:top w:val="nil"/>
          <w:left w:val="nil"/>
          <w:bottom w:val="nil"/>
          <w:right w:val="nil"/>
          <w:between w:val="nil"/>
        </w:pBdr>
        <w:spacing w:after="80" w:line="280" w:lineRule="auto"/>
      </w:pPr>
      <w:r>
        <w:rPr>
          <w:color w:val="000000"/>
        </w:rPr>
        <w:t>Phase 3 randomized controlled trial across 21 U.S. sites</w:t>
      </w:r>
    </w:p>
    <w:p w14:paraId="00000013" w14:textId="77777777" w:rsidR="000777ED" w:rsidRDefault="00000000">
      <w:pPr>
        <w:numPr>
          <w:ilvl w:val="0"/>
          <w:numId w:val="1"/>
        </w:numPr>
        <w:pBdr>
          <w:top w:val="nil"/>
          <w:left w:val="nil"/>
          <w:bottom w:val="nil"/>
          <w:right w:val="nil"/>
          <w:between w:val="nil"/>
        </w:pBdr>
        <w:spacing w:after="80" w:line="280" w:lineRule="auto"/>
      </w:pPr>
      <w:r>
        <w:rPr>
          <w:color w:val="000000"/>
        </w:rPr>
        <w:t xml:space="preserve">Mean BCVA improvement of </w:t>
      </w:r>
      <w:r>
        <w:rPr>
          <w:b/>
          <w:bCs/>
          <w:color w:val="000000"/>
        </w:rPr>
        <w:t>1.81 lines</w:t>
      </w:r>
      <w:r>
        <w:rPr>
          <w:color w:val="000000"/>
        </w:rPr>
        <w:t xml:space="preserve"> in the Luminopia arm vs. 0.85 lines in the control arm (p&lt;0.01)</w:t>
      </w:r>
    </w:p>
    <w:p w14:paraId="00000014" w14:textId="77777777" w:rsidR="000777ED" w:rsidRDefault="00000000">
      <w:pPr>
        <w:numPr>
          <w:ilvl w:val="0"/>
          <w:numId w:val="1"/>
        </w:numPr>
        <w:pBdr>
          <w:top w:val="nil"/>
          <w:left w:val="nil"/>
          <w:bottom w:val="nil"/>
          <w:right w:val="nil"/>
          <w:between w:val="nil"/>
        </w:pBdr>
        <w:spacing w:after="80" w:line="280" w:lineRule="auto"/>
      </w:pPr>
      <w:r>
        <w:rPr>
          <w:color w:val="000000"/>
        </w:rPr>
        <w:t>84% of enrolled children had previously failed conventional therapy; these patients still achieved 1.8 lines of improvement on Luminopia</w:t>
      </w:r>
    </w:p>
    <w:p w14:paraId="00000015" w14:textId="77777777" w:rsidR="000777ED" w:rsidRDefault="00000000">
      <w:pPr>
        <w:numPr>
          <w:ilvl w:val="0"/>
          <w:numId w:val="1"/>
        </w:numPr>
        <w:pBdr>
          <w:top w:val="nil"/>
          <w:left w:val="nil"/>
          <w:bottom w:val="nil"/>
          <w:right w:val="nil"/>
          <w:between w:val="nil"/>
        </w:pBdr>
        <w:spacing w:after="80" w:line="280" w:lineRule="auto"/>
      </w:pPr>
      <w:r>
        <w:rPr>
          <w:color w:val="000000"/>
        </w:rPr>
        <w:t xml:space="preserve">No serious adverse </w:t>
      </w:r>
      <w:proofErr w:type="gramStart"/>
      <w:r>
        <w:rPr>
          <w:color w:val="000000"/>
        </w:rPr>
        <w:t>events;</w:t>
      </w:r>
      <w:proofErr w:type="gramEnd"/>
      <w:r>
        <w:rPr>
          <w:color w:val="000000"/>
        </w:rPr>
        <w:t xml:space="preserve"> the most common adverse event was mild, transient headache (14.3% vs. 1.7%)</w:t>
      </w:r>
    </w:p>
    <w:p w14:paraId="00000016" w14:textId="77777777" w:rsidR="000777ED" w:rsidRDefault="00000000">
      <w:pPr>
        <w:spacing w:before="200" w:after="80"/>
      </w:pPr>
      <w:r>
        <w:rPr>
          <w:b/>
          <w:bCs/>
        </w:rPr>
        <w:t xml:space="preserve">Real-world evidence — Bohnsack et al., </w:t>
      </w:r>
      <w:r>
        <w:rPr>
          <w:b/>
          <w:bCs/>
          <w:i/>
          <w:iCs/>
        </w:rPr>
        <w:t>BMC Ophthalmology</w:t>
      </w:r>
      <w:r>
        <w:rPr>
          <w:b/>
          <w:bCs/>
        </w:rPr>
        <w:t xml:space="preserve"> (2026), </w:t>
      </w:r>
      <w:proofErr w:type="spellStart"/>
      <w:r>
        <w:rPr>
          <w:b/>
          <w:bCs/>
        </w:rPr>
        <w:t>PUPiL</w:t>
      </w:r>
      <w:proofErr w:type="spellEnd"/>
      <w:r>
        <w:rPr>
          <w:b/>
          <w:bCs/>
        </w:rPr>
        <w:t xml:space="preserve"> Registry</w:t>
      </w:r>
      <w:r>
        <w:rPr>
          <w:vertAlign w:val="superscript"/>
        </w:rPr>
        <w:t>10</w:t>
      </w:r>
    </w:p>
    <w:p w14:paraId="00000017" w14:textId="77777777" w:rsidR="000777ED" w:rsidRDefault="00000000">
      <w:pPr>
        <w:numPr>
          <w:ilvl w:val="0"/>
          <w:numId w:val="1"/>
        </w:numPr>
        <w:pBdr>
          <w:top w:val="nil"/>
          <w:left w:val="nil"/>
          <w:bottom w:val="nil"/>
          <w:right w:val="nil"/>
          <w:between w:val="nil"/>
        </w:pBdr>
        <w:spacing w:after="80" w:line="280" w:lineRule="auto"/>
      </w:pPr>
      <w:r>
        <w:rPr>
          <w:color w:val="000000"/>
        </w:rPr>
        <w:t>Multicenter prospective registry of 60 children treated with Luminopia in routine clinical practice</w:t>
      </w:r>
    </w:p>
    <w:p w14:paraId="00000018" w14:textId="77777777" w:rsidR="000777ED" w:rsidRDefault="00000000">
      <w:pPr>
        <w:numPr>
          <w:ilvl w:val="0"/>
          <w:numId w:val="1"/>
        </w:numPr>
        <w:pBdr>
          <w:top w:val="nil"/>
          <w:left w:val="nil"/>
          <w:bottom w:val="nil"/>
          <w:right w:val="nil"/>
          <w:between w:val="nil"/>
        </w:pBdr>
        <w:spacing w:after="80" w:line="280" w:lineRule="auto"/>
      </w:pPr>
      <w:r>
        <w:rPr>
          <w:color w:val="000000"/>
        </w:rPr>
        <w:t xml:space="preserve">Mean BCVA improvement of </w:t>
      </w:r>
      <w:r>
        <w:rPr>
          <w:b/>
          <w:bCs/>
          <w:color w:val="000000"/>
        </w:rPr>
        <w:t>1.4 lines (95% CI 1.0–1.8)</w:t>
      </w:r>
      <w:r>
        <w:rPr>
          <w:color w:val="000000"/>
        </w:rPr>
        <w:t xml:space="preserve"> over a mean treatment duration of 7.0 months</w:t>
      </w:r>
    </w:p>
    <w:p w14:paraId="00000019" w14:textId="77777777" w:rsidR="000777ED" w:rsidRDefault="00000000">
      <w:pPr>
        <w:numPr>
          <w:ilvl w:val="0"/>
          <w:numId w:val="1"/>
        </w:numPr>
        <w:pBdr>
          <w:top w:val="nil"/>
          <w:left w:val="nil"/>
          <w:bottom w:val="nil"/>
          <w:right w:val="nil"/>
          <w:between w:val="nil"/>
        </w:pBdr>
        <w:spacing w:after="80" w:line="280" w:lineRule="auto"/>
      </w:pPr>
      <w:r>
        <w:rPr>
          <w:color w:val="000000"/>
        </w:rPr>
        <w:t xml:space="preserve">Children with severe amblyopia (&lt;20/100) achieved a mean improvement of </w:t>
      </w:r>
      <w:r>
        <w:rPr>
          <w:b/>
          <w:bCs/>
          <w:color w:val="000000"/>
        </w:rPr>
        <w:t>2.6 lines</w:t>
      </w:r>
    </w:p>
    <w:p w14:paraId="0000001A" w14:textId="77777777" w:rsidR="000777ED" w:rsidRDefault="00000000">
      <w:pPr>
        <w:numPr>
          <w:ilvl w:val="0"/>
          <w:numId w:val="1"/>
        </w:numPr>
        <w:pBdr>
          <w:top w:val="nil"/>
          <w:left w:val="nil"/>
          <w:bottom w:val="nil"/>
          <w:right w:val="nil"/>
          <w:between w:val="nil"/>
        </w:pBdr>
        <w:spacing w:after="80" w:line="280" w:lineRule="auto"/>
      </w:pPr>
      <w:r>
        <w:rPr>
          <w:color w:val="000000"/>
        </w:rPr>
        <w:t xml:space="preserve">Improvements were </w:t>
      </w:r>
      <w:r>
        <w:t>observed</w:t>
      </w:r>
      <w:r>
        <w:rPr>
          <w:color w:val="000000"/>
        </w:rPr>
        <w:t xml:space="preserve"> across age (≤7 vs. ≥8 years), amblyopia type (anisometropic, strabismic, mixed), and severity</w:t>
      </w:r>
    </w:p>
    <w:p w14:paraId="0000001B" w14:textId="77777777" w:rsidR="000777ED" w:rsidRDefault="00000000">
      <w:pPr>
        <w:numPr>
          <w:ilvl w:val="0"/>
          <w:numId w:val="1"/>
        </w:numPr>
        <w:pBdr>
          <w:top w:val="nil"/>
          <w:left w:val="nil"/>
          <w:bottom w:val="nil"/>
          <w:right w:val="nil"/>
          <w:between w:val="nil"/>
        </w:pBdr>
        <w:spacing w:after="80" w:line="280" w:lineRule="auto"/>
      </w:pPr>
      <w:r>
        <w:rPr>
          <w:color w:val="000000"/>
        </w:rPr>
        <w:t xml:space="preserve">Visual acuity gains were </w:t>
      </w:r>
      <w:r>
        <w:rPr>
          <w:b/>
          <w:bCs/>
          <w:color w:val="000000"/>
        </w:rPr>
        <w:t>durable</w:t>
      </w:r>
      <w:r>
        <w:rPr>
          <w:color w:val="000000"/>
        </w:rPr>
        <w:t xml:space="preserve">: at a mean 6.2 months of follow-up after treatment discontinuation, BCVA was non-inferior to end-of-treatment values, with no statistically significant </w:t>
      </w:r>
      <w:r>
        <w:t>change</w:t>
      </w:r>
      <w:r>
        <w:rPr>
          <w:color w:val="000000"/>
        </w:rPr>
        <w:t xml:space="preserve"> (p=0.09)</w:t>
      </w:r>
    </w:p>
    <w:p w14:paraId="0000001C" w14:textId="77777777" w:rsidR="000777ED" w:rsidRDefault="00000000">
      <w:pPr>
        <w:numPr>
          <w:ilvl w:val="0"/>
          <w:numId w:val="1"/>
        </w:numPr>
        <w:pBdr>
          <w:top w:val="nil"/>
          <w:left w:val="nil"/>
          <w:bottom w:val="nil"/>
          <w:right w:val="nil"/>
          <w:between w:val="nil"/>
        </w:pBdr>
        <w:spacing w:after="80" w:line="280" w:lineRule="auto"/>
      </w:pPr>
      <w:r>
        <w:rPr>
          <w:color w:val="000000"/>
        </w:rPr>
        <w:t xml:space="preserve">Recurrence of amblyopia (≥2-line loss) was </w:t>
      </w:r>
      <w:proofErr w:type="gramStart"/>
      <w:r>
        <w:rPr>
          <w:color w:val="000000"/>
        </w:rPr>
        <w:t xml:space="preserve">only  </w:t>
      </w:r>
      <w:r>
        <w:rPr>
          <w:b/>
          <w:bCs/>
          <w:color w:val="000000"/>
        </w:rPr>
        <w:t>3</w:t>
      </w:r>
      <w:proofErr w:type="gramEnd"/>
      <w:r>
        <w:rPr>
          <w:b/>
          <w:bCs/>
          <w:color w:val="000000"/>
        </w:rPr>
        <w:t>% after 6 months o</w:t>
      </w:r>
      <w:r>
        <w:rPr>
          <w:b/>
          <w:bCs/>
        </w:rPr>
        <w:t xml:space="preserve">ff-treatment with Luminopia. </w:t>
      </w:r>
      <w:r>
        <w:t>With conventional treatment,</w:t>
      </w:r>
      <w:r>
        <w:rPr>
          <w:b/>
          <w:bCs/>
        </w:rPr>
        <w:t xml:space="preserve"> </w:t>
      </w:r>
      <w:r>
        <w:rPr>
          <w:color w:val="000000"/>
        </w:rPr>
        <w:t>approximately 20% report recur</w:t>
      </w:r>
      <w:r>
        <w:t xml:space="preserve">rence after 1 year off treatment. </w:t>
      </w:r>
    </w:p>
    <w:p w14:paraId="0000001D" w14:textId="77777777" w:rsidR="000777ED" w:rsidRDefault="00000000">
      <w:pPr>
        <w:spacing w:after="160" w:line="280" w:lineRule="auto"/>
      </w:pPr>
      <w:r>
        <w:t xml:space="preserve">Together, these data — a randomized pivotal trial and a multisite real-world registry — establish both the </w:t>
      </w:r>
      <w:r>
        <w:rPr>
          <w:i/>
          <w:iCs/>
        </w:rPr>
        <w:t>efficacy</w:t>
      </w:r>
      <w:r>
        <w:t xml:space="preserve"> and </w:t>
      </w:r>
      <w:r>
        <w:rPr>
          <w:i/>
          <w:iCs/>
        </w:rPr>
        <w:t>durability</w:t>
      </w:r>
      <w:r>
        <w:t xml:space="preserve"> of Luminopia in routine clinical use, including in patients who have previously failed conventional therapy.</w:t>
      </w:r>
    </w:p>
    <w:p w14:paraId="0000001E" w14:textId="77777777" w:rsidR="000777ED" w:rsidRDefault="00000000">
      <w:pPr>
        <w:pBdr>
          <w:bottom w:val="single" w:sz="6" w:space="4" w:color="1F3864"/>
        </w:pBdr>
        <w:spacing w:before="240" w:after="120"/>
      </w:pPr>
      <w:r>
        <w:rPr>
          <w:b/>
          <w:bCs/>
          <w:color w:val="1F3864"/>
          <w:sz w:val="24"/>
          <w:szCs w:val="24"/>
        </w:rPr>
        <w:t>Regulatory Status and Distribution</w:t>
      </w:r>
    </w:p>
    <w:p w14:paraId="0000001F" w14:textId="77777777" w:rsidR="000777ED" w:rsidRDefault="00000000">
      <w:pPr>
        <w:numPr>
          <w:ilvl w:val="0"/>
          <w:numId w:val="1"/>
        </w:numPr>
        <w:pBdr>
          <w:top w:val="nil"/>
          <w:left w:val="nil"/>
          <w:bottom w:val="nil"/>
          <w:right w:val="nil"/>
          <w:between w:val="nil"/>
        </w:pBdr>
        <w:spacing w:after="80" w:line="280" w:lineRule="auto"/>
      </w:pPr>
      <w:r>
        <w:rPr>
          <w:color w:val="000000"/>
        </w:rPr>
        <w:t>FDA cleared via the De Novo pathway in October 2021, following a 10-month review</w:t>
      </w:r>
      <w:r>
        <w:rPr>
          <w:color w:val="000000"/>
          <w:vertAlign w:val="superscript"/>
        </w:rPr>
        <w:t>11</w:t>
      </w:r>
      <w:r>
        <w:rPr>
          <w:color w:val="000000"/>
        </w:rPr>
        <w:t>; the indication was expanded in 2024 to include children 8 to &lt;13 years</w:t>
      </w:r>
      <w:r>
        <w:rPr>
          <w:color w:val="000000"/>
          <w:vertAlign w:val="superscript"/>
        </w:rPr>
        <w:t>1</w:t>
      </w:r>
    </w:p>
    <w:p w14:paraId="00000020" w14:textId="77777777" w:rsidR="000777ED" w:rsidRDefault="00000000">
      <w:pPr>
        <w:numPr>
          <w:ilvl w:val="0"/>
          <w:numId w:val="1"/>
        </w:numPr>
        <w:pBdr>
          <w:top w:val="nil"/>
          <w:left w:val="nil"/>
          <w:bottom w:val="nil"/>
          <w:right w:val="nil"/>
          <w:between w:val="nil"/>
        </w:pBdr>
        <w:spacing w:after="80" w:line="280" w:lineRule="auto"/>
      </w:pPr>
      <w:r>
        <w:rPr>
          <w:color w:val="000000"/>
        </w:rPr>
        <w:t>Prescription-only; distributed through retail specialty pharmacy</w:t>
      </w:r>
    </w:p>
    <w:p w14:paraId="00000021" w14:textId="77777777" w:rsidR="000777ED" w:rsidRDefault="00000000">
      <w:pPr>
        <w:numPr>
          <w:ilvl w:val="0"/>
          <w:numId w:val="1"/>
        </w:numPr>
        <w:pBdr>
          <w:top w:val="nil"/>
          <w:left w:val="nil"/>
          <w:bottom w:val="nil"/>
          <w:right w:val="nil"/>
          <w:between w:val="nil"/>
        </w:pBdr>
        <w:spacing w:after="80" w:line="280" w:lineRule="auto"/>
      </w:pPr>
      <w:r>
        <w:rPr>
          <w:color w:val="000000"/>
        </w:rPr>
        <w:t>NDC 60007088710; listed in all four major drug compendia</w:t>
      </w:r>
    </w:p>
    <w:p w14:paraId="00000022" w14:textId="77777777" w:rsidR="000777ED" w:rsidRDefault="00000000">
      <w:pPr>
        <w:numPr>
          <w:ilvl w:val="0"/>
          <w:numId w:val="1"/>
        </w:numPr>
        <w:pBdr>
          <w:top w:val="nil"/>
          <w:left w:val="nil"/>
          <w:bottom w:val="nil"/>
          <w:right w:val="nil"/>
          <w:between w:val="nil"/>
        </w:pBdr>
        <w:spacing w:after="80" w:line="280" w:lineRule="auto"/>
      </w:pPr>
      <w:r>
        <w:rPr>
          <w:color w:val="000000"/>
        </w:rPr>
        <w:t>Dispensed in 30-day supplies; refills authorized by the prescribing pediatric ophthalmologist based on continued clinical benefit</w:t>
      </w:r>
    </w:p>
    <w:p w14:paraId="00000023" w14:textId="77777777" w:rsidR="000777ED" w:rsidRDefault="00000000">
      <w:pPr>
        <w:pBdr>
          <w:bottom w:val="single" w:sz="6" w:space="4" w:color="1F3864"/>
        </w:pBdr>
        <w:spacing w:before="240" w:after="120"/>
      </w:pPr>
      <w:r>
        <w:rPr>
          <w:b/>
          <w:bCs/>
          <w:color w:val="1F3864"/>
          <w:sz w:val="24"/>
          <w:szCs w:val="24"/>
        </w:rPr>
        <w:t>Coverage Rationale and Request</w:t>
      </w:r>
    </w:p>
    <w:p w14:paraId="00000024" w14:textId="77777777" w:rsidR="000777ED" w:rsidRDefault="00000000">
      <w:pPr>
        <w:spacing w:after="160" w:line="280" w:lineRule="auto"/>
      </w:pPr>
      <w:r>
        <w:t xml:space="preserve">Although Luminopia is a digital therapeutic rather than a small molecule, the body of evidence supporting it meets — and in important respects exceeds — what is typically expected of a covered </w:t>
      </w:r>
      <w:r>
        <w:lastRenderedPageBreak/>
        <w:t>medical therapy: a randomized controlled pivotal trial, a multisite real-world registry, and demonstrated durability of effect after treatment discontinuation. If a traditional pharmacologic agent produced nearly two lines of visual acuity improvement in children with a 3% recurrence rate, we believe coverage would not be in question.</w:t>
      </w:r>
    </w:p>
    <w:p w14:paraId="00000025" w14:textId="77777777" w:rsidR="000777ED" w:rsidRDefault="00000000">
      <w:pPr>
        <w:spacing w:after="160" w:line="280" w:lineRule="auto"/>
      </w:pPr>
      <w:r>
        <w:t xml:space="preserve">We accordingly believe that Luminopia is </w:t>
      </w:r>
      <w:r>
        <w:rPr>
          <w:b/>
          <w:bCs/>
        </w:rPr>
        <w:t>medically necessary</w:t>
      </w:r>
      <w:r>
        <w:t xml:space="preserve"> for appropriate pediatric amblyopia patients, and that </w:t>
      </w:r>
      <w:r>
        <w:rPr>
          <w:b/>
          <w:bCs/>
        </w:rPr>
        <w:t>[Health Plan]</w:t>
      </w:r>
      <w:r>
        <w:t xml:space="preserve"> should adopt a coverage policy that ensures rapid and equitable access for all eligible children in the covered population.</w:t>
      </w:r>
    </w:p>
    <w:p w14:paraId="00000026" w14:textId="77777777" w:rsidR="000777ED" w:rsidRDefault="00000000">
      <w:pPr>
        <w:spacing w:after="160" w:line="280" w:lineRule="auto"/>
      </w:pPr>
      <w:r>
        <w:t xml:space="preserve">Because amblyopia treatment is time-limited by neuroplasticity, we respectfully request a written response within </w:t>
      </w:r>
      <w:r>
        <w:rPr>
          <w:b/>
          <w:bCs/>
        </w:rPr>
        <w:t>72 business hours</w:t>
      </w:r>
      <w:r>
        <w:t xml:space="preserve"> of receipt of this letter.</w:t>
      </w:r>
    </w:p>
    <w:p w14:paraId="00000027" w14:textId="77777777" w:rsidR="000777ED" w:rsidRDefault="00000000">
      <w:pPr>
        <w:spacing w:after="160" w:line="280" w:lineRule="auto"/>
      </w:pPr>
      <w:r>
        <w:t>Thank you for your attention to this matter.</w:t>
      </w:r>
    </w:p>
    <w:p w14:paraId="00000028" w14:textId="77777777" w:rsidR="000777ED" w:rsidRDefault="00000000">
      <w:pPr>
        <w:spacing w:before="240" w:after="480"/>
      </w:pPr>
      <w:r>
        <w:t>Sincerely,</w:t>
      </w:r>
    </w:p>
    <w:p w14:paraId="00000029" w14:textId="77777777" w:rsidR="000777ED" w:rsidRDefault="00000000">
      <w:r>
        <w:rPr>
          <w:b/>
          <w:bCs/>
        </w:rPr>
        <w:t>[Name, Credentials]</w:t>
      </w:r>
    </w:p>
    <w:p w14:paraId="0000002A" w14:textId="77777777" w:rsidR="000777ED" w:rsidRDefault="00000000">
      <w:r>
        <w:t>[Title]</w:t>
      </w:r>
    </w:p>
    <w:p w14:paraId="0000002B" w14:textId="77777777" w:rsidR="000777ED" w:rsidRDefault="00000000">
      <w:r>
        <w:t>[Practice or Organization Name]</w:t>
      </w:r>
    </w:p>
    <w:p w14:paraId="0000002C" w14:textId="77777777" w:rsidR="000777ED" w:rsidRDefault="00000000">
      <w:pPr>
        <w:spacing w:after="240"/>
      </w:pPr>
      <w:r>
        <w:rPr>
          <w:color w:val="595959"/>
          <w:sz w:val="20"/>
          <w:szCs w:val="20"/>
        </w:rPr>
        <w:t>[Phone] | [Email] | NPI: [NPI]</w:t>
      </w:r>
    </w:p>
    <w:p w14:paraId="0000002D" w14:textId="77777777" w:rsidR="000777ED" w:rsidRDefault="00000000">
      <w:pPr>
        <w:spacing w:before="240" w:after="80"/>
      </w:pPr>
      <w:r>
        <w:rPr>
          <w:b/>
          <w:bCs/>
        </w:rPr>
        <w:t>cc:</w:t>
      </w:r>
    </w:p>
    <w:p w14:paraId="0000002E" w14:textId="77777777" w:rsidR="000777ED" w:rsidRDefault="00000000">
      <w:pPr>
        <w:numPr>
          <w:ilvl w:val="0"/>
          <w:numId w:val="1"/>
        </w:numPr>
        <w:pBdr>
          <w:top w:val="nil"/>
          <w:left w:val="nil"/>
          <w:bottom w:val="nil"/>
          <w:right w:val="nil"/>
          <w:between w:val="nil"/>
        </w:pBdr>
        <w:spacing w:after="80" w:line="280" w:lineRule="auto"/>
      </w:pPr>
      <w:r>
        <w:rPr>
          <w:color w:val="000000"/>
        </w:rPr>
        <w:t>[Health Plan Medical Director]</w:t>
      </w:r>
    </w:p>
    <w:p w14:paraId="0000002F" w14:textId="77777777" w:rsidR="000777ED" w:rsidRDefault="00000000">
      <w:pPr>
        <w:numPr>
          <w:ilvl w:val="0"/>
          <w:numId w:val="1"/>
        </w:numPr>
        <w:pBdr>
          <w:top w:val="nil"/>
          <w:left w:val="nil"/>
          <w:bottom w:val="nil"/>
          <w:right w:val="nil"/>
          <w:between w:val="nil"/>
        </w:pBdr>
        <w:spacing w:after="80" w:line="280" w:lineRule="auto"/>
      </w:pPr>
      <w:r>
        <w:rPr>
          <w:color w:val="000000"/>
        </w:rPr>
        <w:t>[Medical Group Medical Director]</w:t>
      </w:r>
    </w:p>
    <w:p w14:paraId="00000030" w14:textId="77777777" w:rsidR="000777ED" w:rsidRDefault="00000000">
      <w:pPr>
        <w:numPr>
          <w:ilvl w:val="0"/>
          <w:numId w:val="1"/>
        </w:numPr>
        <w:pBdr>
          <w:top w:val="nil"/>
          <w:left w:val="nil"/>
          <w:bottom w:val="nil"/>
          <w:right w:val="nil"/>
          <w:between w:val="nil"/>
        </w:pBdr>
        <w:spacing w:after="80" w:line="280" w:lineRule="auto"/>
      </w:pPr>
      <w:r>
        <w:rPr>
          <w:color w:val="000000"/>
        </w:rPr>
        <w:t>[State Insurance Commissioner, if applicable]</w:t>
      </w:r>
    </w:p>
    <w:p w14:paraId="00000031" w14:textId="77777777" w:rsidR="000777ED" w:rsidRDefault="00000000">
      <w:pPr>
        <w:pBdr>
          <w:bottom w:val="single" w:sz="6" w:space="4" w:color="1F3864"/>
        </w:pBdr>
        <w:spacing w:before="240" w:after="120"/>
      </w:pPr>
      <w:r>
        <w:rPr>
          <w:b/>
          <w:bCs/>
          <w:color w:val="1F3864"/>
          <w:sz w:val="24"/>
          <w:szCs w:val="24"/>
        </w:rPr>
        <w:t>References</w:t>
      </w:r>
    </w:p>
    <w:p w14:paraId="00000032" w14:textId="77777777" w:rsidR="000777ED" w:rsidRDefault="00000000">
      <w:pPr>
        <w:numPr>
          <w:ilvl w:val="0"/>
          <w:numId w:val="2"/>
        </w:numPr>
        <w:pBdr>
          <w:top w:val="nil"/>
          <w:left w:val="nil"/>
          <w:bottom w:val="nil"/>
          <w:right w:val="nil"/>
          <w:between w:val="nil"/>
        </w:pBdr>
        <w:spacing w:after="80" w:line="260" w:lineRule="auto"/>
      </w:pPr>
      <w:r>
        <w:rPr>
          <w:color w:val="000000"/>
          <w:sz w:val="20"/>
          <w:szCs w:val="20"/>
        </w:rPr>
        <w:t xml:space="preserve">Luminopia Directions for Use. Available at: </w:t>
      </w:r>
      <w:hyperlink r:id="rId8">
        <w:r>
          <w:rPr>
            <w:color w:val="0563C1"/>
            <w:sz w:val="20"/>
            <w:szCs w:val="20"/>
            <w:u w:val="single"/>
          </w:rPr>
          <w:t>https://luminopia.com/dfu.pdf</w:t>
        </w:r>
      </w:hyperlink>
    </w:p>
    <w:p w14:paraId="00000033" w14:textId="77777777" w:rsidR="000777ED" w:rsidRDefault="00000000">
      <w:pPr>
        <w:numPr>
          <w:ilvl w:val="0"/>
          <w:numId w:val="2"/>
        </w:numPr>
        <w:pBdr>
          <w:top w:val="nil"/>
          <w:left w:val="nil"/>
          <w:bottom w:val="nil"/>
          <w:right w:val="nil"/>
          <w:between w:val="nil"/>
        </w:pBdr>
        <w:spacing w:after="80" w:line="260" w:lineRule="auto"/>
      </w:pPr>
      <w:r>
        <w:rPr>
          <w:color w:val="000000"/>
          <w:sz w:val="20"/>
          <w:szCs w:val="20"/>
        </w:rPr>
        <w:t xml:space="preserve">van Leeuwen R, </w:t>
      </w:r>
      <w:proofErr w:type="spellStart"/>
      <w:r>
        <w:rPr>
          <w:color w:val="000000"/>
          <w:sz w:val="20"/>
          <w:szCs w:val="20"/>
        </w:rPr>
        <w:t>Eijkemans</w:t>
      </w:r>
      <w:proofErr w:type="spellEnd"/>
      <w:r>
        <w:rPr>
          <w:color w:val="000000"/>
          <w:sz w:val="20"/>
          <w:szCs w:val="20"/>
        </w:rPr>
        <w:t xml:space="preserve"> MJ, </w:t>
      </w:r>
      <w:proofErr w:type="spellStart"/>
      <w:r>
        <w:rPr>
          <w:color w:val="000000"/>
          <w:sz w:val="20"/>
          <w:szCs w:val="20"/>
        </w:rPr>
        <w:t>Vingerling</w:t>
      </w:r>
      <w:proofErr w:type="spellEnd"/>
      <w:r>
        <w:rPr>
          <w:color w:val="000000"/>
          <w:sz w:val="20"/>
          <w:szCs w:val="20"/>
        </w:rPr>
        <w:t xml:space="preserve"> JR, Hofman A, de Jong PT, </w:t>
      </w:r>
      <w:proofErr w:type="spellStart"/>
      <w:r>
        <w:rPr>
          <w:color w:val="000000"/>
          <w:sz w:val="20"/>
          <w:szCs w:val="20"/>
        </w:rPr>
        <w:t>Simonsz</w:t>
      </w:r>
      <w:proofErr w:type="spellEnd"/>
      <w:r>
        <w:rPr>
          <w:color w:val="000000"/>
          <w:sz w:val="20"/>
          <w:szCs w:val="20"/>
        </w:rPr>
        <w:t xml:space="preserve"> HJ. Risk of bilateral visual impairment in individuals with amblyopia: the Rotterdam study. </w:t>
      </w:r>
      <w:r>
        <w:rPr>
          <w:i/>
          <w:iCs/>
          <w:color w:val="000000"/>
          <w:sz w:val="20"/>
          <w:szCs w:val="20"/>
        </w:rPr>
        <w:t xml:space="preserve">Br J </w:t>
      </w:r>
      <w:proofErr w:type="spellStart"/>
      <w:r>
        <w:rPr>
          <w:i/>
          <w:iCs/>
          <w:color w:val="000000"/>
          <w:sz w:val="20"/>
          <w:szCs w:val="20"/>
        </w:rPr>
        <w:t>Ophthalmol</w:t>
      </w:r>
      <w:proofErr w:type="spellEnd"/>
      <w:r>
        <w:rPr>
          <w:color w:val="000000"/>
          <w:sz w:val="20"/>
          <w:szCs w:val="20"/>
        </w:rPr>
        <w:t>. 2007;91(11):1450–1451.</w:t>
      </w:r>
    </w:p>
    <w:p w14:paraId="00000034" w14:textId="77777777" w:rsidR="000777ED" w:rsidRDefault="00000000">
      <w:pPr>
        <w:numPr>
          <w:ilvl w:val="0"/>
          <w:numId w:val="2"/>
        </w:numPr>
        <w:pBdr>
          <w:top w:val="nil"/>
          <w:left w:val="nil"/>
          <w:bottom w:val="nil"/>
          <w:right w:val="nil"/>
          <w:between w:val="nil"/>
        </w:pBdr>
        <w:spacing w:after="80" w:line="260" w:lineRule="auto"/>
      </w:pPr>
      <w:r>
        <w:rPr>
          <w:color w:val="000000"/>
          <w:sz w:val="20"/>
          <w:szCs w:val="20"/>
        </w:rPr>
        <w:t xml:space="preserve">Chua B. Consequences of amblyopia on education, occupation, and </w:t>
      </w:r>
      <w:proofErr w:type="gramStart"/>
      <w:r>
        <w:rPr>
          <w:color w:val="000000"/>
          <w:sz w:val="20"/>
          <w:szCs w:val="20"/>
        </w:rPr>
        <w:t>long term</w:t>
      </w:r>
      <w:proofErr w:type="gramEnd"/>
      <w:r>
        <w:rPr>
          <w:color w:val="000000"/>
          <w:sz w:val="20"/>
          <w:szCs w:val="20"/>
        </w:rPr>
        <w:t xml:space="preserve"> vision loss. </w:t>
      </w:r>
      <w:r>
        <w:rPr>
          <w:i/>
          <w:iCs/>
          <w:color w:val="000000"/>
          <w:sz w:val="20"/>
          <w:szCs w:val="20"/>
        </w:rPr>
        <w:t xml:space="preserve">Br J </w:t>
      </w:r>
      <w:proofErr w:type="spellStart"/>
      <w:r>
        <w:rPr>
          <w:i/>
          <w:iCs/>
          <w:color w:val="000000"/>
          <w:sz w:val="20"/>
          <w:szCs w:val="20"/>
        </w:rPr>
        <w:t>Ophthalmol</w:t>
      </w:r>
      <w:proofErr w:type="spellEnd"/>
      <w:r>
        <w:rPr>
          <w:color w:val="000000"/>
          <w:sz w:val="20"/>
          <w:szCs w:val="20"/>
        </w:rPr>
        <w:t xml:space="preserve">. 2004;88(9):1119–1121. </w:t>
      </w:r>
      <w:hyperlink r:id="rId9">
        <w:r>
          <w:rPr>
            <w:color w:val="0563C1"/>
            <w:sz w:val="20"/>
            <w:szCs w:val="20"/>
            <w:u w:val="single"/>
          </w:rPr>
          <w:t>https://doi.org/10.1136/bjo.2004.041863</w:t>
        </w:r>
      </w:hyperlink>
    </w:p>
    <w:p w14:paraId="00000035" w14:textId="77777777" w:rsidR="000777ED" w:rsidRDefault="00000000">
      <w:pPr>
        <w:numPr>
          <w:ilvl w:val="0"/>
          <w:numId w:val="2"/>
        </w:numPr>
        <w:pBdr>
          <w:top w:val="nil"/>
          <w:left w:val="nil"/>
          <w:bottom w:val="nil"/>
          <w:right w:val="nil"/>
          <w:between w:val="nil"/>
        </w:pBdr>
        <w:spacing w:after="80" w:line="260" w:lineRule="auto"/>
      </w:pPr>
      <w:r>
        <w:rPr>
          <w:color w:val="000000"/>
          <w:sz w:val="20"/>
          <w:szCs w:val="20"/>
        </w:rPr>
        <w:t xml:space="preserve">Birch EE, Castañeda YS, Cheng-Patel CS, Morale SE, Kelly KR, Beauchamp CL, Webber A. Self-perception of school-aged children with amblyopia and its association with reading speed and motor skills. </w:t>
      </w:r>
      <w:r>
        <w:rPr>
          <w:i/>
          <w:iCs/>
          <w:color w:val="000000"/>
          <w:sz w:val="20"/>
          <w:szCs w:val="20"/>
        </w:rPr>
        <w:t xml:space="preserve">JAMA </w:t>
      </w:r>
      <w:proofErr w:type="spellStart"/>
      <w:r>
        <w:rPr>
          <w:i/>
          <w:iCs/>
          <w:color w:val="000000"/>
          <w:sz w:val="20"/>
          <w:szCs w:val="20"/>
        </w:rPr>
        <w:t>Ophthalmol</w:t>
      </w:r>
      <w:proofErr w:type="spellEnd"/>
      <w:r>
        <w:rPr>
          <w:color w:val="000000"/>
          <w:sz w:val="20"/>
          <w:szCs w:val="20"/>
        </w:rPr>
        <w:t xml:space="preserve">. 2019;137(2):167. </w:t>
      </w:r>
      <w:hyperlink r:id="rId10">
        <w:r>
          <w:rPr>
            <w:color w:val="0563C1"/>
            <w:sz w:val="20"/>
            <w:szCs w:val="20"/>
            <w:u w:val="single"/>
          </w:rPr>
          <w:t>https://doi.org/10.1001/jamaophthalmol.2018.5527</w:t>
        </w:r>
      </w:hyperlink>
    </w:p>
    <w:p w14:paraId="00000036" w14:textId="77777777" w:rsidR="000777ED" w:rsidRDefault="00000000">
      <w:pPr>
        <w:numPr>
          <w:ilvl w:val="0"/>
          <w:numId w:val="2"/>
        </w:numPr>
        <w:pBdr>
          <w:top w:val="nil"/>
          <w:left w:val="nil"/>
          <w:bottom w:val="nil"/>
          <w:right w:val="nil"/>
          <w:between w:val="nil"/>
        </w:pBdr>
        <w:spacing w:after="80" w:line="260" w:lineRule="auto"/>
      </w:pPr>
      <w:r>
        <w:rPr>
          <w:color w:val="000000"/>
          <w:sz w:val="20"/>
          <w:szCs w:val="20"/>
        </w:rPr>
        <w:t xml:space="preserve">Holmes JM, Lazar EL, Melia BM, et al. Effect of age on response to amblyopia treatment in children. </w:t>
      </w:r>
      <w:r>
        <w:rPr>
          <w:i/>
          <w:iCs/>
          <w:color w:val="000000"/>
          <w:sz w:val="20"/>
          <w:szCs w:val="20"/>
        </w:rPr>
        <w:t xml:space="preserve">Arch </w:t>
      </w:r>
      <w:proofErr w:type="spellStart"/>
      <w:r>
        <w:rPr>
          <w:i/>
          <w:iCs/>
          <w:color w:val="000000"/>
          <w:sz w:val="20"/>
          <w:szCs w:val="20"/>
        </w:rPr>
        <w:t>Ophthalmol</w:t>
      </w:r>
      <w:proofErr w:type="spellEnd"/>
      <w:r>
        <w:rPr>
          <w:color w:val="000000"/>
          <w:sz w:val="20"/>
          <w:szCs w:val="20"/>
        </w:rPr>
        <w:t>. 2011;129(11):1451–1457.</w:t>
      </w:r>
    </w:p>
    <w:p w14:paraId="00000037" w14:textId="77777777" w:rsidR="000777ED" w:rsidRDefault="00000000">
      <w:pPr>
        <w:numPr>
          <w:ilvl w:val="0"/>
          <w:numId w:val="2"/>
        </w:numPr>
        <w:pBdr>
          <w:top w:val="nil"/>
          <w:left w:val="nil"/>
          <w:bottom w:val="nil"/>
          <w:right w:val="nil"/>
          <w:between w:val="nil"/>
        </w:pBdr>
        <w:spacing w:after="80" w:line="260" w:lineRule="auto"/>
      </w:pPr>
      <w:r>
        <w:rPr>
          <w:color w:val="000000"/>
          <w:sz w:val="20"/>
          <w:szCs w:val="20"/>
        </w:rPr>
        <w:t xml:space="preserve">Wallace MP, Stewart CE, Moseley MJ, et al. Compliance with occlusion therapy for childhood amblyopia. </w:t>
      </w:r>
      <w:r>
        <w:rPr>
          <w:i/>
          <w:iCs/>
          <w:color w:val="000000"/>
          <w:sz w:val="20"/>
          <w:szCs w:val="20"/>
        </w:rPr>
        <w:t xml:space="preserve">Invest </w:t>
      </w:r>
      <w:proofErr w:type="spellStart"/>
      <w:r>
        <w:rPr>
          <w:i/>
          <w:iCs/>
          <w:color w:val="000000"/>
          <w:sz w:val="20"/>
          <w:szCs w:val="20"/>
        </w:rPr>
        <w:t>Ophthalmol</w:t>
      </w:r>
      <w:proofErr w:type="spellEnd"/>
      <w:r>
        <w:rPr>
          <w:i/>
          <w:iCs/>
          <w:color w:val="000000"/>
          <w:sz w:val="20"/>
          <w:szCs w:val="20"/>
        </w:rPr>
        <w:t xml:space="preserve"> Vis Sci</w:t>
      </w:r>
      <w:r>
        <w:rPr>
          <w:color w:val="000000"/>
          <w:sz w:val="20"/>
          <w:szCs w:val="20"/>
        </w:rPr>
        <w:t>. 2013;54(9):6158–6166.</w:t>
      </w:r>
    </w:p>
    <w:p w14:paraId="00000038" w14:textId="77777777" w:rsidR="000777ED" w:rsidRDefault="00000000">
      <w:pPr>
        <w:numPr>
          <w:ilvl w:val="0"/>
          <w:numId w:val="2"/>
        </w:numPr>
        <w:pBdr>
          <w:top w:val="nil"/>
          <w:left w:val="nil"/>
          <w:bottom w:val="nil"/>
          <w:right w:val="nil"/>
          <w:between w:val="nil"/>
        </w:pBdr>
        <w:spacing w:after="80" w:line="260" w:lineRule="auto"/>
      </w:pPr>
      <w:r>
        <w:rPr>
          <w:color w:val="000000"/>
          <w:sz w:val="20"/>
          <w:szCs w:val="20"/>
        </w:rPr>
        <w:t xml:space="preserve">Stewart CE, Moseley MJ, Fielder AR, Stephens DA. Treatment dose-response in amblyopia therapy: the Monitored Occlusion Treatment of Amblyopia Study (MOTAS). </w:t>
      </w:r>
      <w:r>
        <w:rPr>
          <w:i/>
          <w:iCs/>
          <w:color w:val="000000"/>
          <w:sz w:val="20"/>
          <w:szCs w:val="20"/>
        </w:rPr>
        <w:t xml:space="preserve">Invest </w:t>
      </w:r>
      <w:proofErr w:type="spellStart"/>
      <w:r>
        <w:rPr>
          <w:i/>
          <w:iCs/>
          <w:color w:val="000000"/>
          <w:sz w:val="20"/>
          <w:szCs w:val="20"/>
        </w:rPr>
        <w:t>Ophthalmol</w:t>
      </w:r>
      <w:proofErr w:type="spellEnd"/>
      <w:r>
        <w:rPr>
          <w:i/>
          <w:iCs/>
          <w:color w:val="000000"/>
          <w:sz w:val="20"/>
          <w:szCs w:val="20"/>
        </w:rPr>
        <w:t xml:space="preserve"> Vis Sci</w:t>
      </w:r>
      <w:r>
        <w:rPr>
          <w:color w:val="000000"/>
          <w:sz w:val="20"/>
          <w:szCs w:val="20"/>
        </w:rPr>
        <w:t>. 2004;45(9):3048–3054.</w:t>
      </w:r>
    </w:p>
    <w:p w14:paraId="00000039" w14:textId="77777777" w:rsidR="000777ED" w:rsidRDefault="00000000">
      <w:pPr>
        <w:numPr>
          <w:ilvl w:val="0"/>
          <w:numId w:val="2"/>
        </w:numPr>
        <w:pBdr>
          <w:top w:val="nil"/>
          <w:left w:val="nil"/>
          <w:bottom w:val="nil"/>
          <w:right w:val="nil"/>
          <w:between w:val="nil"/>
        </w:pBdr>
        <w:spacing w:after="80" w:line="260" w:lineRule="auto"/>
      </w:pPr>
      <w:r>
        <w:rPr>
          <w:color w:val="000000"/>
          <w:sz w:val="20"/>
          <w:szCs w:val="20"/>
        </w:rPr>
        <w:lastRenderedPageBreak/>
        <w:t xml:space="preserve">Wallace DK, Edwards AR, Cotter SA, et al. A randomized trial to evaluate 2 hours of daily patching for strabismic and anisometropic amblyopia in children. </w:t>
      </w:r>
      <w:r>
        <w:rPr>
          <w:i/>
          <w:iCs/>
          <w:color w:val="000000"/>
          <w:sz w:val="20"/>
          <w:szCs w:val="20"/>
        </w:rPr>
        <w:t>Ophthalmology</w:t>
      </w:r>
      <w:r>
        <w:rPr>
          <w:color w:val="000000"/>
          <w:sz w:val="20"/>
          <w:szCs w:val="20"/>
        </w:rPr>
        <w:t>. 2006;113(6):904–912.</w:t>
      </w:r>
    </w:p>
    <w:p w14:paraId="0000003A" w14:textId="77777777" w:rsidR="000777ED" w:rsidRDefault="00000000">
      <w:pPr>
        <w:numPr>
          <w:ilvl w:val="0"/>
          <w:numId w:val="2"/>
        </w:numPr>
        <w:pBdr>
          <w:top w:val="nil"/>
          <w:left w:val="nil"/>
          <w:bottom w:val="nil"/>
          <w:right w:val="nil"/>
          <w:between w:val="nil"/>
        </w:pBdr>
        <w:spacing w:after="80" w:line="260" w:lineRule="auto"/>
      </w:pPr>
      <w:r>
        <w:rPr>
          <w:color w:val="000000"/>
          <w:sz w:val="20"/>
          <w:szCs w:val="20"/>
        </w:rPr>
        <w:t xml:space="preserve">Xiao S, </w:t>
      </w:r>
      <w:proofErr w:type="spellStart"/>
      <w:r>
        <w:rPr>
          <w:color w:val="000000"/>
          <w:sz w:val="20"/>
          <w:szCs w:val="20"/>
        </w:rPr>
        <w:t>Angjeli</w:t>
      </w:r>
      <w:proofErr w:type="spellEnd"/>
      <w:r>
        <w:rPr>
          <w:color w:val="000000"/>
          <w:sz w:val="20"/>
          <w:szCs w:val="20"/>
        </w:rPr>
        <w:t xml:space="preserve"> E, Wu HC, et al. Randomized controlled trial of a dichoptic digital therapeutic for amblyopia. </w:t>
      </w:r>
      <w:r>
        <w:rPr>
          <w:i/>
          <w:iCs/>
          <w:color w:val="000000"/>
          <w:sz w:val="20"/>
          <w:szCs w:val="20"/>
        </w:rPr>
        <w:t>Ophthalmology</w:t>
      </w:r>
      <w:r>
        <w:rPr>
          <w:color w:val="000000"/>
          <w:sz w:val="20"/>
          <w:szCs w:val="20"/>
        </w:rPr>
        <w:t>. 2022;129(1):77–85.</w:t>
      </w:r>
    </w:p>
    <w:p w14:paraId="0000003B" w14:textId="77777777" w:rsidR="000777ED" w:rsidRDefault="00000000">
      <w:pPr>
        <w:numPr>
          <w:ilvl w:val="0"/>
          <w:numId w:val="2"/>
        </w:numPr>
        <w:pBdr>
          <w:top w:val="nil"/>
          <w:left w:val="nil"/>
          <w:bottom w:val="nil"/>
          <w:right w:val="nil"/>
          <w:between w:val="nil"/>
        </w:pBdr>
        <w:spacing w:after="80" w:line="260" w:lineRule="auto"/>
      </w:pPr>
      <w:r>
        <w:rPr>
          <w:color w:val="000000"/>
          <w:sz w:val="20"/>
          <w:szCs w:val="20"/>
        </w:rPr>
        <w:t xml:space="preserve">Bohnsack BL, </w:t>
      </w:r>
      <w:proofErr w:type="spellStart"/>
      <w:r>
        <w:rPr>
          <w:color w:val="000000"/>
          <w:sz w:val="20"/>
          <w:szCs w:val="20"/>
        </w:rPr>
        <w:t>Ghasia</w:t>
      </w:r>
      <w:proofErr w:type="spellEnd"/>
      <w:r>
        <w:rPr>
          <w:color w:val="000000"/>
          <w:sz w:val="20"/>
          <w:szCs w:val="20"/>
        </w:rPr>
        <w:t xml:space="preserve"> F, Hancock S, Warner N, Gaier ED. Real world gains stable in children with amblyopia following digital dichoptic treatment: </w:t>
      </w:r>
      <w:proofErr w:type="spellStart"/>
      <w:r>
        <w:rPr>
          <w:color w:val="000000"/>
          <w:sz w:val="20"/>
          <w:szCs w:val="20"/>
        </w:rPr>
        <w:t>PUPiL</w:t>
      </w:r>
      <w:proofErr w:type="spellEnd"/>
      <w:r>
        <w:rPr>
          <w:color w:val="000000"/>
          <w:sz w:val="20"/>
          <w:szCs w:val="20"/>
        </w:rPr>
        <w:t xml:space="preserve"> registry results. </w:t>
      </w:r>
      <w:r>
        <w:rPr>
          <w:i/>
          <w:iCs/>
          <w:color w:val="000000"/>
          <w:sz w:val="20"/>
          <w:szCs w:val="20"/>
        </w:rPr>
        <w:t xml:space="preserve">BMC </w:t>
      </w:r>
      <w:proofErr w:type="spellStart"/>
      <w:r>
        <w:rPr>
          <w:i/>
          <w:iCs/>
          <w:color w:val="000000"/>
          <w:sz w:val="20"/>
          <w:szCs w:val="20"/>
        </w:rPr>
        <w:t>Ophthalmol</w:t>
      </w:r>
      <w:proofErr w:type="spellEnd"/>
      <w:r>
        <w:rPr>
          <w:color w:val="000000"/>
          <w:sz w:val="20"/>
          <w:szCs w:val="20"/>
        </w:rPr>
        <w:t xml:space="preserve">. </w:t>
      </w:r>
      <w:proofErr w:type="gramStart"/>
      <w:r>
        <w:rPr>
          <w:color w:val="000000"/>
          <w:sz w:val="20"/>
          <w:szCs w:val="20"/>
        </w:rPr>
        <w:t>2026;26:217</w:t>
      </w:r>
      <w:proofErr w:type="gramEnd"/>
      <w:r>
        <w:rPr>
          <w:color w:val="000000"/>
          <w:sz w:val="20"/>
          <w:szCs w:val="20"/>
        </w:rPr>
        <w:t xml:space="preserve">. </w:t>
      </w:r>
      <w:hyperlink r:id="rId11">
        <w:r>
          <w:rPr>
            <w:color w:val="0563C1"/>
            <w:sz w:val="20"/>
            <w:szCs w:val="20"/>
            <w:u w:val="single"/>
          </w:rPr>
          <w:t>https://doi.org/10.1186/s12886-026-04747-3</w:t>
        </w:r>
      </w:hyperlink>
    </w:p>
    <w:p w14:paraId="0000003C" w14:textId="77777777" w:rsidR="000777ED" w:rsidRDefault="00000000">
      <w:pPr>
        <w:numPr>
          <w:ilvl w:val="0"/>
          <w:numId w:val="2"/>
        </w:numPr>
        <w:pBdr>
          <w:top w:val="nil"/>
          <w:left w:val="nil"/>
          <w:bottom w:val="nil"/>
          <w:right w:val="nil"/>
          <w:between w:val="nil"/>
        </w:pBdr>
        <w:spacing w:after="80" w:line="260" w:lineRule="auto"/>
      </w:pPr>
      <w:r>
        <w:rPr>
          <w:color w:val="000000"/>
          <w:sz w:val="20"/>
          <w:szCs w:val="20"/>
        </w:rPr>
        <w:t xml:space="preserve">U.S. Food and Drug Administration. De Novo classification request for Luminopia (DEN210005). </w:t>
      </w:r>
      <w:hyperlink r:id="rId12">
        <w:r>
          <w:rPr>
            <w:color w:val="0563C1"/>
            <w:sz w:val="20"/>
            <w:szCs w:val="20"/>
            <w:u w:val="single"/>
          </w:rPr>
          <w:t>https://www.accessdata.fda.gov/cdrh_docs/pdf21/DEN210005.pdf</w:t>
        </w:r>
      </w:hyperlink>
    </w:p>
    <w:sectPr w:rsidR="000777ED">
      <w:headerReference w:type="default" r:id="rId13"/>
      <w:footerReference w:type="defaul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49FE9" w14:textId="77777777" w:rsidR="00B02BBA" w:rsidRDefault="00B02BBA">
      <w:r>
        <w:separator/>
      </w:r>
    </w:p>
  </w:endnote>
  <w:endnote w:type="continuationSeparator" w:id="0">
    <w:p w14:paraId="40BF2B32" w14:textId="77777777" w:rsidR="00B02BBA" w:rsidRDefault="00B02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45C70F63-1423-944C-B332-73C6836B7EF1}"/>
    <w:embedBold r:id="rId2" w:fontKey="{507C958D-8359-404D-87DC-9FCC801AB5A7}"/>
    <w:embedItalic r:id="rId3" w:fontKey="{4E39C991-5B64-0D4F-9813-A8AB0AC7ABB9}"/>
    <w:embedBoldItalic r:id="rId4" w:fontKey="{2DB50237-F916-8D4F-B838-6D26F42D9610}"/>
  </w:font>
  <w:font w:name="Times New Roman">
    <w:panose1 w:val="02020603050405020304"/>
    <w:charset w:val="00"/>
    <w:family w:val="roman"/>
    <w:pitch w:val="variable"/>
    <w:sig w:usb0="E0002EFF" w:usb1="C000785B" w:usb2="00000009" w:usb3="00000000" w:csb0="000001FF" w:csb1="00000000"/>
    <w:embedRegular r:id="rId5" w:fontKey="{45FA6A81-04B0-544A-B27F-6C3A439E4D71}"/>
  </w:font>
  <w:font w:name="Georgia">
    <w:panose1 w:val="02040502050405020303"/>
    <w:charset w:val="00"/>
    <w:family w:val="roman"/>
    <w:pitch w:val="variable"/>
    <w:sig w:usb0="00000287" w:usb1="00000000" w:usb2="00000000" w:usb3="00000000" w:csb0="0000009F" w:csb1="00000000"/>
    <w:embedItalic r:id="rId6" w:fontKey="{7AEBCD4F-CCCF-5D4B-907E-5C8DF4C32050}"/>
  </w:font>
  <w:font w:name="Cambria">
    <w:panose1 w:val="02040503050406030204"/>
    <w:charset w:val="00"/>
    <w:family w:val="roman"/>
    <w:pitch w:val="variable"/>
    <w:sig w:usb0="E00002FF" w:usb1="400004FF" w:usb2="00000000" w:usb3="00000000" w:csb0="0000019F" w:csb1="00000000"/>
    <w:embedRegular r:id="rId7" w:fontKey="{E58C2044-83E2-8243-879E-AE93A27ACA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6E7587E9" w:rsidR="000777ED" w:rsidRDefault="00000000">
    <w:pPr>
      <w:jc w:val="right"/>
    </w:pPr>
    <w:r>
      <w:rPr>
        <w:color w:val="595959"/>
        <w:sz w:val="18"/>
        <w:szCs w:val="18"/>
      </w:rPr>
      <w:t xml:space="preserve">Page </w:t>
    </w:r>
    <w:r>
      <w:rPr>
        <w:color w:val="595959"/>
        <w:sz w:val="18"/>
        <w:szCs w:val="18"/>
      </w:rPr>
      <w:fldChar w:fldCharType="begin"/>
    </w:r>
    <w:r>
      <w:rPr>
        <w:color w:val="595959"/>
        <w:sz w:val="18"/>
        <w:szCs w:val="18"/>
      </w:rPr>
      <w:instrText>PAGE</w:instrText>
    </w:r>
    <w:r>
      <w:rPr>
        <w:color w:val="595959"/>
        <w:sz w:val="18"/>
        <w:szCs w:val="18"/>
      </w:rPr>
      <w:fldChar w:fldCharType="separate"/>
    </w:r>
    <w:r w:rsidR="00F71224">
      <w:rPr>
        <w:noProof/>
        <w:color w:val="595959"/>
        <w:sz w:val="18"/>
        <w:szCs w:val="18"/>
      </w:rPr>
      <w:t>1</w:t>
    </w:r>
    <w:r>
      <w:rPr>
        <w:color w:val="595959"/>
        <w:sz w:val="18"/>
        <w:szCs w:val="18"/>
      </w:rPr>
      <w:fldChar w:fldCharType="end"/>
    </w:r>
    <w:r>
      <w:rPr>
        <w:color w:val="595959"/>
        <w:sz w:val="18"/>
        <w:szCs w:val="18"/>
      </w:rPr>
      <w:t xml:space="preserve"> of </w:t>
    </w:r>
    <w:r>
      <w:rPr>
        <w:color w:val="595959"/>
        <w:sz w:val="18"/>
        <w:szCs w:val="18"/>
      </w:rPr>
      <w:fldChar w:fldCharType="begin"/>
    </w:r>
    <w:r>
      <w:rPr>
        <w:color w:val="595959"/>
        <w:sz w:val="18"/>
        <w:szCs w:val="18"/>
      </w:rPr>
      <w:instrText>NUMPAGES</w:instrText>
    </w:r>
    <w:r>
      <w:rPr>
        <w:color w:val="595959"/>
        <w:sz w:val="18"/>
        <w:szCs w:val="18"/>
      </w:rPr>
      <w:fldChar w:fldCharType="separate"/>
    </w:r>
    <w:r w:rsidR="00F71224">
      <w:rPr>
        <w:noProof/>
        <w:color w:val="595959"/>
        <w:sz w:val="18"/>
        <w:szCs w:val="18"/>
      </w:rPr>
      <w:t>2</w:t>
    </w:r>
    <w:r>
      <w:rPr>
        <w:color w:val="5959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D8D6F" w14:textId="77777777" w:rsidR="00B02BBA" w:rsidRDefault="00B02BBA">
      <w:r>
        <w:separator/>
      </w:r>
    </w:p>
  </w:footnote>
  <w:footnote w:type="continuationSeparator" w:id="0">
    <w:p w14:paraId="243A15DB" w14:textId="77777777" w:rsidR="00B02BBA" w:rsidRDefault="00B02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77777777" w:rsidR="000777ED" w:rsidRDefault="00000000">
    <w:pPr>
      <w:pBdr>
        <w:top w:val="nil"/>
        <w:left w:val="nil"/>
        <w:bottom w:val="nil"/>
        <w:right w:val="nil"/>
        <w:between w:val="nil"/>
      </w:pBdr>
      <w:tabs>
        <w:tab w:val="center" w:pos="4680"/>
        <w:tab w:val="right" w:pos="9360"/>
      </w:tabs>
      <w:rPr>
        <w:color w:val="000000"/>
      </w:rPr>
    </w:pPr>
    <w:r>
      <w:rPr>
        <w:color w:val="000000"/>
      </w:rPr>
      <w:t xml:space="preserve">Note to Healthcare Professionals: This information is provided as a resource only. Please use your professional judgement and modify or adapt this content based on your clinical expertise.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BB2CC2"/>
    <w:multiLevelType w:val="multilevel"/>
    <w:tmpl w:val="710A14EA"/>
    <w:lvl w:ilvl="0">
      <w:start w:val="1"/>
      <w:numFmt w:val="decimal"/>
      <w:lvlText w:val="%1."/>
      <w:lvlJc w:val="left"/>
      <w:pPr>
        <w:ind w:left="54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70134B2A"/>
    <w:multiLevelType w:val="multilevel"/>
    <w:tmpl w:val="BE1CE8EA"/>
    <w:lvl w:ilvl="0">
      <w:start w:val="1"/>
      <w:numFmt w:val="bullet"/>
      <w:lvlText w:val="•"/>
      <w:lvlJc w:val="left"/>
      <w:pPr>
        <w:ind w:left="540" w:hanging="27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794179237">
    <w:abstractNumId w:val="1"/>
  </w:num>
  <w:num w:numId="2" w16cid:durableId="2039967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7ED"/>
    <w:rsid w:val="000777ED"/>
    <w:rsid w:val="003A647C"/>
    <w:rsid w:val="00B02BBA"/>
    <w:rsid w:val="00F71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217F4AAA-7D3F-8E4A-A81A-80B87BDE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uminopia.com/dfu.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ccessdata.fda.gov/cdrh_docs/pdf21/DEN210005.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86/s12886-026-04747-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1001/jamaophthalmol.2018.5527" TargetMode="External"/><Relationship Id="rId4" Type="http://schemas.openxmlformats.org/officeDocument/2006/relationships/settings" Target="settings.xml"/><Relationship Id="rId9" Type="http://schemas.openxmlformats.org/officeDocument/2006/relationships/hyperlink" Target="https://doi.org/10.1136/bjo.2004.041863"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h1fM2enyyB3XZV4RPVzH+p8x9Q==">CgMxLjA4AGonChRzdWdnZXN0LjV6ZzRrcnZoMWM3YRIPU2hlbGxleSBIYW5jb2NraicKFHN1Z2dlc3QuNndpaXhyaGE2czVpEg9TaGVsbGV5IEhhbmNvY2tqJwoUc3VnZ2VzdC5zb216ZDJzOGdpNDMSD1NoZWxsZXkgSGFuY29ja2onChRzdWdnZXN0LnE3aGFrMWhlNmJ5MxIPU2hlbGxleSBIYW5jb2NrciExWVRFVGN4eGthX1lSbndrU2trMVVtb1NRVmF6QUFnTXM=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1079</Words>
  <Characters>6767</Characters>
  <Application>Microsoft Office Word</Application>
  <DocSecurity>0</DocSecurity>
  <Lines>116</Lines>
  <Paragraphs>71</Paragraphs>
  <ScaleCrop>false</ScaleCrop>
  <Company/>
  <LinksUpToDate>false</LinksUpToDate>
  <CharactersWithSpaces>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Stephanie Roberts</cp:lastModifiedBy>
  <cp:revision>2</cp:revision>
  <dcterms:created xsi:type="dcterms:W3CDTF">2026-05-12T22:00:00Z</dcterms:created>
  <dcterms:modified xsi:type="dcterms:W3CDTF">2026-05-12T22:00:00Z</dcterms:modified>
</cp:coreProperties>
</file>