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8BCC" w14:textId="77777777" w:rsidR="00091A3D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To:</w:t>
      </w:r>
      <w:r>
        <w:rPr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Name of health plan</w:t>
      </w:r>
      <w:r>
        <w:rPr>
          <w:b/>
          <w:bCs/>
          <w:color w:val="000000"/>
          <w:sz w:val="22"/>
          <w:szCs w:val="22"/>
          <w:highlight w:val="yellow"/>
        </w:rPr>
        <w:t>]</w:t>
      </w:r>
      <w:r>
        <w:rPr>
          <w:color w:val="000000"/>
          <w:sz w:val="22"/>
          <w:szCs w:val="22"/>
        </w:rPr>
        <w:t xml:space="preserve"> Appeals Department</w:t>
      </w:r>
    </w:p>
    <w:p w14:paraId="73DB1654" w14:textId="77777777" w:rsidR="00091A3D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From:</w:t>
      </w:r>
      <w:r>
        <w:rPr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Name of Health Care Provider]</w:t>
      </w:r>
    </w:p>
    <w:p w14:paraId="36F49312" w14:textId="77777777" w:rsidR="00091A3D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Re:</w:t>
      </w:r>
      <w:r>
        <w:rPr>
          <w:color w:val="000000"/>
          <w:sz w:val="22"/>
          <w:szCs w:val="22"/>
        </w:rPr>
        <w:tab/>
        <w:t xml:space="preserve">Appeal for </w:t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PA denial # or name of patient</w:t>
      </w:r>
      <w:r>
        <w:rPr>
          <w:b/>
          <w:bCs/>
          <w:color w:val="000000"/>
          <w:sz w:val="22"/>
          <w:szCs w:val="22"/>
          <w:highlight w:val="yellow"/>
        </w:rPr>
        <w:t>]</w:t>
      </w:r>
    </w:p>
    <w:p w14:paraId="5FBAEB6F" w14:textId="77777777" w:rsidR="00091A3D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Date:</w:t>
      </w:r>
      <w:r>
        <w:rPr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Date</w:t>
      </w:r>
      <w:r>
        <w:rPr>
          <w:b/>
          <w:bCs/>
          <w:color w:val="000000"/>
          <w:sz w:val="22"/>
          <w:szCs w:val="22"/>
          <w:highlight w:val="yellow"/>
        </w:rPr>
        <w:t>]</w:t>
      </w:r>
    </w:p>
    <w:p w14:paraId="20E6EF9F" w14:textId="77777777" w:rsidR="00091A3D" w:rsidRDefault="00091A3D">
      <w:pPr>
        <w:rPr>
          <w:color w:val="000000"/>
          <w:sz w:val="22"/>
          <w:szCs w:val="22"/>
        </w:rPr>
      </w:pPr>
    </w:p>
    <w:p w14:paraId="5683689F" w14:textId="77777777" w:rsidR="00091A3D" w:rsidRDefault="00000000">
      <w:pPr>
        <w:spacing w:after="2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To Whom It May Concern:</w:t>
      </w:r>
    </w:p>
    <w:p w14:paraId="0A518F01" w14:textId="77777777" w:rsidR="00091A3D" w:rsidRDefault="00000000">
      <w:pPr>
        <w:spacing w:after="22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 am writing to appeal the decision to deny Luminopia for </w:t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name of patient</w:t>
      </w:r>
      <w:r>
        <w:rPr>
          <w:b/>
          <w:bCs/>
          <w:color w:val="000000"/>
          <w:sz w:val="22"/>
          <w:szCs w:val="22"/>
          <w:highlight w:val="yellow"/>
        </w:rPr>
        <w:t>]</w:t>
      </w:r>
      <w:r>
        <w:rPr>
          <w:color w:val="000000"/>
          <w:sz w:val="22"/>
          <w:szCs w:val="22"/>
        </w:rPr>
        <w:t xml:space="preserve">. </w:t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Name of patient</w:t>
      </w:r>
      <w:r>
        <w:rPr>
          <w:b/>
          <w:bCs/>
          <w:color w:val="000000"/>
          <w:sz w:val="22"/>
          <w:szCs w:val="22"/>
          <w:highlight w:val="yellow"/>
        </w:rPr>
        <w:t>]</w:t>
      </w:r>
      <w:r>
        <w:rPr>
          <w:color w:val="000000"/>
          <w:sz w:val="22"/>
          <w:szCs w:val="22"/>
        </w:rPr>
        <w:t xml:space="preserve"> was diagnosed with amblyopia on </w:t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date of diagnosis</w:t>
      </w:r>
      <w:r>
        <w:rPr>
          <w:b/>
          <w:bCs/>
          <w:color w:val="000000"/>
          <w:sz w:val="22"/>
          <w:szCs w:val="22"/>
          <w:highlight w:val="yellow"/>
        </w:rPr>
        <w:t>]</w:t>
      </w:r>
      <w:r>
        <w:rPr>
          <w:color w:val="000000"/>
          <w:sz w:val="22"/>
          <w:szCs w:val="22"/>
        </w:rPr>
        <w:t xml:space="preserve">. Since that time, they’ve tried occlusion therapy (patching) for </w:t>
      </w:r>
      <w:r>
        <w:rPr>
          <w:b/>
          <w:bCs/>
          <w:color w:val="000000"/>
          <w:sz w:val="22"/>
          <w:szCs w:val="22"/>
          <w:highlight w:val="yellow"/>
        </w:rPr>
        <w:t>[</w:t>
      </w:r>
      <w:r>
        <w:rPr>
          <w:color w:val="000000"/>
          <w:sz w:val="22"/>
          <w:szCs w:val="22"/>
          <w:highlight w:val="yellow"/>
        </w:rPr>
        <w:t>X</w:t>
      </w:r>
      <w:r>
        <w:rPr>
          <w:b/>
          <w:bCs/>
          <w:color w:val="000000"/>
          <w:sz w:val="22"/>
          <w:szCs w:val="22"/>
          <w:highlight w:val="yellow"/>
        </w:rPr>
        <w:t>]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months without resolution of their amblyopia. </w:t>
      </w:r>
    </w:p>
    <w:p w14:paraId="75E7DAC6" w14:textId="77777777" w:rsidR="00091A3D" w:rsidRDefault="00000000">
      <w:pPr>
        <w:spacing w:after="22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Amblyopia is the leading cause of vision loss in children and is associated with significant quality-of-life issues including difficulty with physical function and fine motor skills; slower reading speed and less likelihood of completing secondary education; and increased incidence of anxiety, depression, and other behavioral health issues.</w:t>
      </w:r>
      <w:r>
        <w:rPr>
          <w:color w:val="000000"/>
          <w:sz w:val="22"/>
          <w:szCs w:val="22"/>
          <w:vertAlign w:val="superscript"/>
        </w:rPr>
        <w:t>1,2</w:t>
      </w:r>
    </w:p>
    <w:p w14:paraId="5AC0CDB9" w14:textId="6F558EB2" w:rsidR="00091A3D" w:rsidRDefault="00000000">
      <w:pPr>
        <w:rPr>
          <w:sz w:val="22"/>
          <w:szCs w:val="22"/>
        </w:rPr>
      </w:pPr>
      <w:r>
        <w:rPr>
          <w:sz w:val="22"/>
          <w:szCs w:val="22"/>
        </w:rPr>
        <w:t>Luminopia is</w:t>
      </w:r>
      <w:r w:rsidR="006A689C">
        <w:rPr>
          <w:sz w:val="22"/>
          <w:szCs w:val="22"/>
        </w:rPr>
        <w:t xml:space="preserve"> an FDA-cleared treatment </w:t>
      </w:r>
      <w:r>
        <w:rPr>
          <w:sz w:val="22"/>
          <w:szCs w:val="22"/>
        </w:rPr>
        <w:t>indicated for improvement in visual acuity in amblyopia patients age 4 to &lt;13, associated with anisometropia and/or with mild strabismus.</w:t>
      </w:r>
    </w:p>
    <w:p w14:paraId="31A10C59" w14:textId="77777777" w:rsidR="00091A3D" w:rsidRDefault="00091A3D">
      <w:pPr>
        <w:rPr>
          <w:sz w:val="22"/>
          <w:szCs w:val="22"/>
        </w:rPr>
      </w:pPr>
    </w:p>
    <w:p w14:paraId="0A637984" w14:textId="77777777" w:rsidR="00091A3D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 believe that Luminopia is medically necessary for </w:t>
      </w:r>
      <w:r>
        <w:rPr>
          <w:b/>
          <w:bCs/>
          <w:sz w:val="22"/>
          <w:szCs w:val="22"/>
          <w:highlight w:val="yellow"/>
        </w:rPr>
        <w:t>[name of child.]</w:t>
      </w:r>
    </w:p>
    <w:p w14:paraId="253985DC" w14:textId="77777777" w:rsidR="00091A3D" w:rsidRDefault="00091A3D">
      <w:pPr>
        <w:rPr>
          <w:sz w:val="22"/>
          <w:szCs w:val="22"/>
        </w:rPr>
      </w:pPr>
    </w:p>
    <w:p w14:paraId="2AD118A6" w14:textId="77777777" w:rsidR="00091A3D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Without another treatment option, this child’s vision will be permanently and negatively impacted. The long-term effects of amblyopia are permanent vision impairment, </w:t>
      </w:r>
      <w:r>
        <w:rPr>
          <w:sz w:val="22"/>
          <w:szCs w:val="22"/>
        </w:rPr>
        <w:t>resulting in</w:t>
      </w:r>
      <w:r>
        <w:rPr>
          <w:color w:val="000000"/>
          <w:sz w:val="22"/>
          <w:szCs w:val="22"/>
        </w:rPr>
        <w:t xml:space="preserve"> the possible reduction or loss of educational and career opportunities, costing both the child and society. </w:t>
      </w:r>
    </w:p>
    <w:p w14:paraId="32AB55F9" w14:textId="77777777" w:rsidR="00091A3D" w:rsidRDefault="00091A3D">
      <w:pPr>
        <w:rPr>
          <w:sz w:val="22"/>
          <w:szCs w:val="22"/>
        </w:rPr>
      </w:pPr>
    </w:p>
    <w:p w14:paraId="720DF7BD" w14:textId="77777777" w:rsidR="00091A3D" w:rsidRDefault="00000000">
      <w:pPr>
        <w:spacing w:after="22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Thank you for your immediate attention to this matter. </w:t>
      </w:r>
    </w:p>
    <w:p w14:paraId="1CE5F60A" w14:textId="77777777" w:rsidR="00091A3D" w:rsidRDefault="00000000">
      <w:pPr>
        <w:spacing w:after="22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Sincerely,</w:t>
      </w:r>
    </w:p>
    <w:p w14:paraId="3D1C9228" w14:textId="77777777" w:rsidR="00091A3D" w:rsidRDefault="00091A3D">
      <w:pPr>
        <w:spacing w:after="225"/>
        <w:rPr>
          <w:color w:val="000000"/>
          <w:sz w:val="22"/>
          <w:szCs w:val="22"/>
        </w:rPr>
      </w:pPr>
    </w:p>
    <w:p w14:paraId="0C1FEF09" w14:textId="77777777" w:rsidR="00091A3D" w:rsidRDefault="00000000">
      <w:pPr>
        <w:spacing w:after="22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Prescribing Physician</w:t>
      </w:r>
    </w:p>
    <w:p w14:paraId="4021F254" w14:textId="77777777" w:rsidR="00091A3D" w:rsidRDefault="00091A3D">
      <w:pPr>
        <w:spacing w:after="225"/>
        <w:rPr>
          <w:color w:val="000000"/>
          <w:sz w:val="22"/>
          <w:szCs w:val="22"/>
        </w:rPr>
      </w:pPr>
    </w:p>
    <w:p w14:paraId="715A53FC" w14:textId="77777777" w:rsidR="00091A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Chua, B. (2004). Consequences of amblyopia on education, occupation, and </w:t>
      </w:r>
      <w:proofErr w:type="gramStart"/>
      <w:r>
        <w:rPr>
          <w:color w:val="000000"/>
          <w:sz w:val="16"/>
          <w:szCs w:val="16"/>
        </w:rPr>
        <w:t>long term</w:t>
      </w:r>
      <w:proofErr w:type="gramEnd"/>
      <w:r>
        <w:rPr>
          <w:color w:val="000000"/>
          <w:sz w:val="16"/>
          <w:szCs w:val="16"/>
        </w:rPr>
        <w:t xml:space="preserve"> vision loss. British Journal of Ophthalmology, 88(9), 1119–1121. </w:t>
      </w:r>
      <w:hyperlink r:id="rId8">
        <w:r w:rsidR="00091A3D">
          <w:rPr>
            <w:color w:val="0563C1"/>
            <w:sz w:val="16"/>
            <w:szCs w:val="16"/>
            <w:u w:val="single"/>
          </w:rPr>
          <w:t>https://doi.org/10.1136/bjo.2004.041863</w:t>
        </w:r>
      </w:hyperlink>
    </w:p>
    <w:p w14:paraId="3154D1B9" w14:textId="77777777" w:rsidR="00091A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Birch, E. E., Castañeda, Y. S., Cheng-Patel, C. S., Morale, S. E., Kelly, K. R., Beauchamp, C. L., &amp; Webber, A. (2019). Self-perception of School-aged Children </w:t>
      </w:r>
      <w:proofErr w:type="gramStart"/>
      <w:r>
        <w:rPr>
          <w:color w:val="000000"/>
          <w:sz w:val="16"/>
          <w:szCs w:val="16"/>
        </w:rPr>
        <w:t>With</w:t>
      </w:r>
      <w:proofErr w:type="gramEnd"/>
      <w:r>
        <w:rPr>
          <w:color w:val="000000"/>
          <w:sz w:val="16"/>
          <w:szCs w:val="16"/>
        </w:rPr>
        <w:t xml:space="preserve"> Amblyopia and Its Association </w:t>
      </w:r>
      <w:proofErr w:type="gramStart"/>
      <w:r>
        <w:rPr>
          <w:color w:val="000000"/>
          <w:sz w:val="16"/>
          <w:szCs w:val="16"/>
        </w:rPr>
        <w:t>With</w:t>
      </w:r>
      <w:proofErr w:type="gramEnd"/>
      <w:r>
        <w:rPr>
          <w:color w:val="000000"/>
          <w:sz w:val="16"/>
          <w:szCs w:val="16"/>
        </w:rPr>
        <w:t xml:space="preserve"> Reading Speed and Motor Skills. JAMA Ophthalmology, 137(2), 167. </w:t>
      </w:r>
      <w:hyperlink r:id="rId9">
        <w:r w:rsidR="00091A3D">
          <w:rPr>
            <w:color w:val="0563C1"/>
            <w:sz w:val="16"/>
            <w:szCs w:val="16"/>
            <w:u w:val="single"/>
          </w:rPr>
          <w:t>https://doi.org/10.1001/jamaophthalmol.2018.5527</w:t>
        </w:r>
      </w:hyperlink>
    </w:p>
    <w:p w14:paraId="1DFE84B2" w14:textId="77777777" w:rsidR="00091A3D" w:rsidRDefault="00091A3D">
      <w:pPr>
        <w:pBdr>
          <w:top w:val="nil"/>
          <w:left w:val="nil"/>
          <w:bottom w:val="nil"/>
          <w:right w:val="nil"/>
          <w:between w:val="nil"/>
        </w:pBdr>
      </w:pPr>
    </w:p>
    <w:p w14:paraId="48355603" w14:textId="77777777" w:rsidR="00091A3D" w:rsidRDefault="00091A3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hyperlink r:id="rId10">
        <w:r>
          <w:rPr>
            <w:color w:val="0563C1"/>
            <w:sz w:val="16"/>
            <w:szCs w:val="16"/>
            <w:u w:val="single"/>
          </w:rPr>
          <w:t>https://luminopia.com/dfu.pdf</w:t>
        </w:r>
      </w:hyperlink>
    </w:p>
    <w:sectPr w:rsidR="00091A3D">
      <w:headerReference w:type="default" r:id="rId11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21DC" w14:textId="77777777" w:rsidR="00EB1DC6" w:rsidRDefault="00EB1DC6">
      <w:r>
        <w:separator/>
      </w:r>
    </w:p>
  </w:endnote>
  <w:endnote w:type="continuationSeparator" w:id="0">
    <w:p w14:paraId="7A86028A" w14:textId="77777777" w:rsidR="00EB1DC6" w:rsidRDefault="00EB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1A3F601-76EA-B14A-91AB-561EA6C6BACA}"/>
    <w:embedBold r:id="rId2" w:fontKey="{80666809-43EA-9A45-AAAB-14360AC008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E2E1C07-1A98-8F4E-B1D2-02B4CEB60DA6}"/>
    <w:embedBold r:id="rId4" w:fontKey="{DA46F454-B0A4-CD4D-86DF-7C8E44D0D4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510C61A-157F-7649-83DA-24AA153BF5B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412F404D-920B-844E-BBD9-4805B69091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12D7B" w14:textId="77777777" w:rsidR="00EB1DC6" w:rsidRDefault="00EB1DC6">
      <w:r>
        <w:separator/>
      </w:r>
    </w:p>
  </w:footnote>
  <w:footnote w:type="continuationSeparator" w:id="0">
    <w:p w14:paraId="3338859C" w14:textId="77777777" w:rsidR="00EB1DC6" w:rsidRDefault="00EB1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14A6" w14:textId="77777777" w:rsidR="00091A3D" w:rsidRDefault="00000000">
    <w:pPr>
      <w:spacing w:before="240" w:after="240"/>
      <w:rPr>
        <w:sz w:val="22"/>
        <w:szCs w:val="22"/>
      </w:rPr>
    </w:pPr>
    <w:r>
      <w:rPr>
        <w:b/>
        <w:bCs/>
        <w:noProof/>
        <w:sz w:val="22"/>
        <w:szCs w:val="22"/>
      </w:rPr>
      <w:drawing>
        <wp:inline distT="114300" distB="114300" distL="114300" distR="114300" wp14:anchorId="168E72D7" wp14:editId="71D86C0F">
          <wp:extent cx="6858000" cy="825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82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23E9AF" w14:textId="77777777" w:rsidR="00091A3D" w:rsidRDefault="00000000">
    <w:pPr>
      <w:spacing w:before="240" w:after="240"/>
    </w:pPr>
    <w:r>
      <w:rPr>
        <w:sz w:val="22"/>
        <w:szCs w:val="22"/>
      </w:rPr>
      <w:t>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349FF"/>
    <w:multiLevelType w:val="multilevel"/>
    <w:tmpl w:val="09102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 w16cid:durableId="194434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A3D"/>
    <w:rsid w:val="00043024"/>
    <w:rsid w:val="00091A3D"/>
    <w:rsid w:val="006A689C"/>
    <w:rsid w:val="00C44CE5"/>
    <w:rsid w:val="00D22AD8"/>
    <w:rsid w:val="00EB1DC6"/>
    <w:rsid w:val="00F1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8DD70F"/>
  <w15:docId w15:val="{F96809FD-3A6B-3D45-9CC3-93DBD927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36/bjo.2004.04186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uminopia.com/df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1/jamaophthalmol.2018.5527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NSWeUDaGBNhNUv+xCb7kFw4GHw==">CgMxLjA4AHIhMV9raGFVZ2ozNDZxb2xoaGZUYUNJZ2tPWHFfM0VhQ3R4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1813</Characters>
  <Application>Microsoft Office Word</Application>
  <DocSecurity>0</DocSecurity>
  <Lines>35</Lines>
  <Paragraphs>20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Roberts</cp:lastModifiedBy>
  <cp:revision>2</cp:revision>
  <dcterms:created xsi:type="dcterms:W3CDTF">2026-08-20T19:15:00Z</dcterms:created>
  <dcterms:modified xsi:type="dcterms:W3CDTF">2026-08-20T19:15:00Z</dcterms:modified>
</cp:coreProperties>
</file>