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TO WHOMSOEVER IT MAY CONCERN.</w:t>
      </w:r>
    </w:p>
    <w:p w:rsidR="00000000" w:rsidDel="00000000" w:rsidP="00000000" w:rsidRDefault="00000000" w:rsidRPr="00000000" w14:paraId="00000002">
      <w:pPr>
        <w:spacing w:after="0" w:lineRule="auto"/>
        <w:ind w:firstLine="720"/>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i w:val="1"/>
          <w:iCs w:val="1"/>
          <w:color w:val="ff0000"/>
          <w:sz w:val="20"/>
          <w:szCs w:val="20"/>
          <w:rtl w:val="0"/>
        </w:rPr>
        <w:t xml:space="preserve">(To be printed on the Principal Entity’s Official Letterhead)</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is to certify that the 160 Series number has/is been issued to </w:t>
      </w:r>
      <w:r w:rsidDel="00000000" w:rsidR="00000000" w:rsidRPr="00000000">
        <w:rPr>
          <w:rFonts w:ascii="Times New Roman" w:cs="Times New Roman" w:eastAsia="Times New Roman" w:hAnsi="Times New Roman"/>
          <w:b w:val="1"/>
          <w:bCs w:val="1"/>
          <w:sz w:val="20"/>
          <w:szCs w:val="20"/>
          <w:highlight w:val="yellow"/>
          <w:rtl w:val="0"/>
        </w:rPr>
        <w:t xml:space="preserve">[Entity Name]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b w:val="1"/>
          <w:bCs w:val="1"/>
          <w:sz w:val="20"/>
          <w:szCs w:val="20"/>
          <w:highlight w:val="yellow"/>
          <w:rtl w:val="0"/>
        </w:rPr>
        <w:t xml:space="preserve">[Entity Name]</w:t>
      </w:r>
      <w:r w:rsidDel="00000000" w:rsidR="00000000" w:rsidRPr="00000000">
        <w:rPr>
          <w:rFonts w:ascii="Times New Roman" w:cs="Times New Roman" w:eastAsia="Times New Roman" w:hAnsi="Times New Roman"/>
          <w:sz w:val="20"/>
          <w:szCs w:val="20"/>
          <w:rtl w:val="0"/>
        </w:rPr>
        <w:t xml:space="preserve"> is a registered as Principal Entity (PE) on the DLT platform of Tata Teleservices, the PE ID is &lt; </w:t>
      </w:r>
      <w:r w:rsidDel="00000000" w:rsidR="00000000" w:rsidRPr="00000000">
        <w:rPr>
          <w:rFonts w:ascii="Times New Roman" w:cs="Times New Roman" w:eastAsia="Times New Roman" w:hAnsi="Times New Roman"/>
          <w:sz w:val="20"/>
          <w:szCs w:val="20"/>
          <w:highlight w:val="yellow"/>
          <w:rtl w:val="0"/>
        </w:rPr>
        <w:t xml:space="preserve">enter the PE ID</w:t>
      </w:r>
      <w:r w:rsidDel="00000000" w:rsidR="00000000" w:rsidRPr="00000000">
        <w:rPr>
          <w:rFonts w:ascii="Times New Roman" w:cs="Times New Roman" w:eastAsia="Times New Roman" w:hAnsi="Times New Roman"/>
          <w:sz w:val="20"/>
          <w:szCs w:val="20"/>
          <w:rtl w:val="0"/>
        </w:rPr>
        <w:t xml:space="preserve"> &gt;  </w:t>
      </w:r>
    </w:p>
    <w:p w:rsidR="00000000" w:rsidDel="00000000" w:rsidP="00000000" w:rsidRDefault="00000000" w:rsidRPr="00000000" w14:paraId="000000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b w:val="1"/>
          <w:bCs w:val="1"/>
          <w:sz w:val="20"/>
          <w:szCs w:val="20"/>
          <w:highlight w:val="yellow"/>
          <w:rtl w:val="0"/>
        </w:rPr>
        <w:t xml:space="preserve">[Entity Name]</w:t>
      </w:r>
      <w:r w:rsidDel="00000000" w:rsidR="00000000" w:rsidRPr="00000000">
        <w:rPr>
          <w:rFonts w:ascii="Times New Roman" w:cs="Times New Roman" w:eastAsia="Times New Roman" w:hAnsi="Times New Roman"/>
          <w:sz w:val="20"/>
          <w:szCs w:val="20"/>
          <w:rtl w:val="0"/>
        </w:rPr>
        <w:t xml:space="preserve"> shall be liable for any corresponding penalties and prosecution levied by the relevant authority, in case of misuse of 160 series as this is mandated only for Service &amp; Transactional purpose.  </w:t>
      </w:r>
    </w:p>
    <w:p w:rsidR="00000000" w:rsidDel="00000000" w:rsidP="00000000" w:rsidRDefault="00000000" w:rsidRPr="00000000" w14:paraId="000000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highlight w:val="yellow"/>
          <w:rtl w:val="0"/>
        </w:rPr>
        <w:t xml:space="preserve">[Entity Name]</w:t>
      </w:r>
      <w:r w:rsidDel="00000000" w:rsidR="00000000" w:rsidRPr="00000000">
        <w:rPr>
          <w:rFonts w:ascii="Times New Roman" w:cs="Times New Roman" w:eastAsia="Times New Roman" w:hAnsi="Times New Roman"/>
          <w:sz w:val="20"/>
          <w:szCs w:val="20"/>
          <w:rtl w:val="0"/>
        </w:rPr>
        <w:t xml:space="preserve"> will comply with the TCCCP Regulation -2018 and its provisions and shall be responsible for any misuse or violations under including but not limited to any financial disincentives or legal penalties imposed by TRAI or the Access Provider due to violations will be the sole liability of the PE.  </w:t>
      </w:r>
    </w:p>
    <w:p w:rsidR="00000000" w:rsidDel="00000000" w:rsidP="00000000" w:rsidRDefault="00000000" w:rsidRPr="00000000" w14:paraId="0000000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Entity Identification &amp; KYC Details</w:t>
      </w:r>
    </w:p>
    <w:tbl>
      <w:tblPr>
        <w:tblStyle w:val="Table1"/>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276"/>
        <w:gridCol w:w="1275"/>
        <w:gridCol w:w="1985"/>
        <w:gridCol w:w="1417"/>
        <w:gridCol w:w="2127"/>
        <w:tblGridChange w:id="0">
          <w:tblGrid>
            <w:gridCol w:w="1560"/>
            <w:gridCol w:w="1276"/>
            <w:gridCol w:w="1275"/>
            <w:gridCol w:w="1985"/>
            <w:gridCol w:w="1417"/>
            <w:gridCol w:w="2127"/>
          </w:tblGrid>
        </w:tblGridChange>
      </w:tblGrid>
      <w:tr>
        <w:trPr>
          <w:cantSplit w:val="0"/>
          <w:tblHeader w:val="0"/>
        </w:trPr>
        <w:tc>
          <w:tcPr/>
          <w:p w:rsidR="00000000" w:rsidDel="00000000" w:rsidP="00000000" w:rsidRDefault="00000000" w:rsidRPr="00000000" w14:paraId="00000009">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Name of Entity</w:t>
            </w:r>
          </w:p>
        </w:tc>
        <w:tc>
          <w:tcPr/>
          <w:p w:rsidR="00000000" w:rsidDel="00000000" w:rsidP="00000000" w:rsidRDefault="00000000" w:rsidRPr="00000000" w14:paraId="0000000A">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PAN of Entity</w:t>
            </w:r>
          </w:p>
        </w:tc>
        <w:tc>
          <w:tcPr/>
          <w:p w:rsidR="00000000" w:rsidDel="00000000" w:rsidP="00000000" w:rsidRDefault="00000000" w:rsidRPr="00000000" w14:paraId="0000000B">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GSTIN</w:t>
            </w:r>
          </w:p>
        </w:tc>
        <w:tc>
          <w:tcPr/>
          <w:p w:rsidR="00000000" w:rsidDel="00000000" w:rsidP="00000000" w:rsidRDefault="00000000" w:rsidRPr="00000000" w14:paraId="0000000C">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Registered Address</w:t>
            </w:r>
          </w:p>
        </w:tc>
        <w:tc>
          <w:tcPr/>
          <w:p w:rsidR="00000000" w:rsidDel="00000000" w:rsidP="00000000" w:rsidRDefault="00000000" w:rsidRPr="00000000" w14:paraId="0000000D">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Regulatory Body</w:t>
            </w:r>
          </w:p>
        </w:tc>
        <w:tc>
          <w:tcPr/>
          <w:p w:rsidR="00000000" w:rsidDel="00000000" w:rsidP="00000000" w:rsidRDefault="00000000" w:rsidRPr="00000000" w14:paraId="0000000E">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Regulatory Registration Number</w:t>
            </w:r>
          </w:p>
        </w:tc>
      </w:tr>
      <w:tr>
        <w:trPr>
          <w:cantSplit w:val="0"/>
          <w:tblHeader w:val="0"/>
        </w:trPr>
        <w:tc>
          <w:tcPr/>
          <w:p w:rsidR="00000000" w:rsidDel="00000000" w:rsidP="00000000" w:rsidRDefault="00000000" w:rsidRPr="00000000" w14:paraId="0000000F">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highlight w:val="yellow"/>
                <w:rtl w:val="0"/>
              </w:rPr>
              <w:t xml:space="preserve">[e.g., ABC Bank Ltd / XYZ Insurance Co]</w:t>
            </w:r>
            <w:r w:rsidDel="00000000" w:rsidR="00000000" w:rsidRPr="00000000">
              <w:rPr>
                <w:rtl w:val="0"/>
              </w:rPr>
            </w:r>
          </w:p>
        </w:tc>
        <w:tc>
          <w:tcPr/>
          <w:p w:rsidR="00000000" w:rsidDel="00000000" w:rsidP="00000000" w:rsidRDefault="00000000" w:rsidRPr="00000000" w14:paraId="00000010">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highlight w:val="yellow"/>
                <w:rtl w:val="0"/>
              </w:rPr>
              <w:t xml:space="preserve">[Insert PAN]</w:t>
            </w:r>
            <w:r w:rsidDel="00000000" w:rsidR="00000000" w:rsidRPr="00000000">
              <w:rPr>
                <w:rtl w:val="0"/>
              </w:rPr>
            </w:r>
          </w:p>
        </w:tc>
        <w:tc>
          <w:tcPr/>
          <w:p w:rsidR="00000000" w:rsidDel="00000000" w:rsidP="00000000" w:rsidRDefault="00000000" w:rsidRPr="00000000" w14:paraId="00000011">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highlight w:val="yellow"/>
                <w:rtl w:val="0"/>
              </w:rPr>
              <w:t xml:space="preserve">[Insert GST Number]</w:t>
            </w:r>
            <w:r w:rsidDel="00000000" w:rsidR="00000000" w:rsidRPr="00000000">
              <w:rPr>
                <w:rtl w:val="0"/>
              </w:rPr>
            </w:r>
          </w:p>
        </w:tc>
        <w:tc>
          <w:tcPr>
            <w:vAlign w:val="center"/>
          </w:tcPr>
          <w:p w:rsidR="00000000" w:rsidDel="00000000" w:rsidP="00000000" w:rsidRDefault="00000000" w:rsidRPr="00000000" w14:paraId="00000012">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highlight w:val="yellow"/>
                <w:rtl w:val="0"/>
              </w:rPr>
              <w:t xml:space="preserve">[Insert Full Address]</w:t>
            </w:r>
            <w:r w:rsidDel="00000000" w:rsidR="00000000" w:rsidRPr="00000000">
              <w:rPr>
                <w:rtl w:val="0"/>
              </w:rPr>
            </w:r>
          </w:p>
        </w:tc>
        <w:tc>
          <w:tcPr/>
          <w:p w:rsidR="00000000" w:rsidDel="00000000" w:rsidP="00000000" w:rsidRDefault="00000000" w:rsidRPr="00000000" w14:paraId="00000013">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highlight w:val="yellow"/>
                <w:rtl w:val="0"/>
              </w:rPr>
              <w:t xml:space="preserve">[e.g., RBI / SEBI / IRDAI / PFRDA]</w:t>
            </w:r>
            <w:r w:rsidDel="00000000" w:rsidR="00000000" w:rsidRPr="00000000">
              <w:rPr>
                <w:rtl w:val="0"/>
              </w:rPr>
            </w:r>
          </w:p>
        </w:tc>
        <w:tc>
          <w:tcPr/>
          <w:p w:rsidR="00000000" w:rsidDel="00000000" w:rsidP="00000000" w:rsidRDefault="00000000" w:rsidRPr="00000000" w14:paraId="00000014">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highlight w:val="yellow"/>
                <w:rtl w:val="0"/>
              </w:rPr>
              <w:t xml:space="preserve">[Insert Certificate Number from Regulator]</w:t>
            </w:r>
            <w:r w:rsidDel="00000000" w:rsidR="00000000" w:rsidRPr="00000000">
              <w:rPr>
                <w:rtl w:val="0"/>
              </w:rPr>
            </w:r>
          </w:p>
        </w:tc>
      </w:tr>
    </w:tbl>
    <w:p w:rsidR="00000000" w:rsidDel="00000000" w:rsidP="00000000" w:rsidRDefault="00000000" w:rsidRPr="00000000" w14:paraId="0000001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Acknowledged and agreed by and/on behalf of </w:t>
      </w:r>
      <w:r w:rsidDel="00000000" w:rsidR="00000000" w:rsidRPr="00000000">
        <w:rPr>
          <w:rFonts w:ascii="Times New Roman" w:cs="Times New Roman" w:eastAsia="Times New Roman" w:hAnsi="Times New Roman"/>
          <w:b w:val="1"/>
          <w:bCs w:val="1"/>
          <w:sz w:val="20"/>
          <w:szCs w:val="20"/>
          <w:highlight w:val="yellow"/>
          <w:rtl w:val="0"/>
        </w:rPr>
        <w:t xml:space="preserve">[Entity Name]</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Signatory Name </w:t>
      </w:r>
    </w:p>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Company Seal.</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B0D4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B0D4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B0D4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B0D4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B0D4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B0D4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B0D4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B0D4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B0D4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B0D4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B0D4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B0D4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B0D4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B0D4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B0D4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B0D48"/>
    <w:rPr>
      <w:i w:val="1"/>
      <w:iCs w:val="1"/>
      <w:color w:val="404040" w:themeColor="text1" w:themeTint="0000BF"/>
    </w:rPr>
  </w:style>
  <w:style w:type="paragraph" w:styleId="ListParagraph">
    <w:name w:val="List Paragraph"/>
    <w:basedOn w:val="Normal"/>
    <w:uiPriority w:val="34"/>
    <w:qFormat w:val="1"/>
    <w:rsid w:val="00AB0D48"/>
    <w:pPr>
      <w:ind w:left="720"/>
      <w:contextualSpacing w:val="1"/>
    </w:pPr>
  </w:style>
  <w:style w:type="character" w:styleId="IntenseEmphasis">
    <w:name w:val="Intense Emphasis"/>
    <w:basedOn w:val="DefaultParagraphFont"/>
    <w:uiPriority w:val="21"/>
    <w:qFormat w:val="1"/>
    <w:rsid w:val="00AB0D48"/>
    <w:rPr>
      <w:i w:val="1"/>
      <w:iCs w:val="1"/>
      <w:color w:val="0f4761" w:themeColor="accent1" w:themeShade="0000BF"/>
    </w:rPr>
  </w:style>
  <w:style w:type="paragraph" w:styleId="IntenseQuote">
    <w:name w:val="Intense Quote"/>
    <w:basedOn w:val="Normal"/>
    <w:next w:val="Normal"/>
    <w:link w:val="IntenseQuoteChar"/>
    <w:uiPriority w:val="30"/>
    <w:qFormat w:val="1"/>
    <w:rsid w:val="00AB0D4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B0D48"/>
    <w:rPr>
      <w:i w:val="1"/>
      <w:iCs w:val="1"/>
      <w:color w:val="0f4761" w:themeColor="accent1" w:themeShade="0000BF"/>
    </w:rPr>
  </w:style>
  <w:style w:type="character" w:styleId="IntenseReference">
    <w:name w:val="Intense Reference"/>
    <w:basedOn w:val="DefaultParagraphFont"/>
    <w:uiPriority w:val="32"/>
    <w:qFormat w:val="1"/>
    <w:rsid w:val="00AB0D48"/>
    <w:rPr>
      <w:b w:val="1"/>
      <w:bCs w:val="1"/>
      <w:smallCaps w:val="1"/>
      <w:color w:val="0f4761" w:themeColor="accent1" w:themeShade="0000BF"/>
      <w:spacing w:val="5"/>
    </w:rPr>
  </w:style>
  <w:style w:type="table" w:styleId="TableGrid">
    <w:name w:val="Table Grid"/>
    <w:basedOn w:val="TableNormal"/>
    <w:uiPriority w:val="39"/>
    <w:rsid w:val="00AB0D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P8XFQHuiYnArn09IDlf6Klv+Ig==">CgMxLjA4AHIhMWdqZ2tULWFLVzhlUmw4aGVMd1lSMFF1T1JPdXZfY2g1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2026-01-22T07:02:00Z</dcterms:created>
  <dc:creator>Kshitij</dc:creator>
</cp:coreProperties>
</file>