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8FFF1" w14:textId="77777777" w:rsidR="00107DD5" w:rsidRPr="004C32D4" w:rsidRDefault="00221D8F" w:rsidP="00CA4815">
      <w:r w:rsidRPr="004C32D4">
        <w:rPr>
          <w:b/>
          <w:bCs/>
          <w:noProof/>
        </w:rPr>
        <w:drawing>
          <wp:anchor distT="0" distB="0" distL="114300" distR="114300" simplePos="0" relativeHeight="251658240" behindDoc="1" locked="1" layoutInCell="1" allowOverlap="1" wp14:anchorId="71F6E8F4" wp14:editId="2FE4A866">
            <wp:simplePos x="0" y="0"/>
            <wp:positionH relativeFrom="page">
              <wp:align>right</wp:align>
            </wp:positionH>
            <wp:positionV relativeFrom="paragraph">
              <wp:posOffset>-770255</wp:posOffset>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831975"/>
                    </a:xfrm>
                    <a:prstGeom prst="rect">
                      <a:avLst/>
                    </a:prstGeom>
                  </pic:spPr>
                </pic:pic>
              </a:graphicData>
            </a:graphic>
            <wp14:sizeRelH relativeFrom="page">
              <wp14:pctWidth>0</wp14:pctWidth>
            </wp14:sizeRelH>
            <wp14:sizeRelV relativeFrom="page">
              <wp14:pctHeight>0</wp14:pctHeight>
            </wp14:sizeRelV>
          </wp:anchor>
        </w:drawing>
      </w:r>
      <w:r w:rsidR="00107DD5" w:rsidRPr="004C32D4">
        <w:rPr>
          <w:noProof/>
        </w:rPr>
        <w:drawing>
          <wp:inline distT="0" distB="0" distL="0" distR="0" wp14:anchorId="33622BD6" wp14:editId="58389166">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69172"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3FDF77B3" w14:textId="4E175DC0" w:rsidR="00221D8F" w:rsidRPr="004C32D4" w:rsidRDefault="00C23E7F" w:rsidP="00893A34">
          <w:pPr>
            <w:pStyle w:val="Heading1"/>
          </w:pPr>
          <w:r w:rsidRPr="004C32D4">
            <w:t>Workplace instruments, awards and bargaining</w:t>
          </w:r>
        </w:p>
      </w:sdtContent>
    </w:sdt>
    <w:bookmarkEnd w:id="0" w:displacedByCustomXml="prev"/>
    <w:bookmarkEnd w:id="1" w:displacedByCustomXml="prev"/>
    <w:p w14:paraId="296B9EB8" w14:textId="1DBEEA61" w:rsidR="00C23E7F" w:rsidRPr="004C32D4" w:rsidRDefault="00C23E7F" w:rsidP="00C23E7F">
      <w:pPr>
        <w:pStyle w:val="Subtitle"/>
        <w:spacing w:after="480"/>
      </w:pPr>
      <w:r w:rsidRPr="004C32D4">
        <w:t>Information for early childhood education and care (ECEC) </w:t>
      </w:r>
      <w:r w:rsidR="00DA1A13" w:rsidRPr="004C32D4">
        <w:t xml:space="preserve">workers </w:t>
      </w:r>
      <w:r w:rsidRPr="004C32D4">
        <w:t>about awards, workplace instruments and bargaining.</w:t>
      </w:r>
    </w:p>
    <w:tbl>
      <w:tblPr>
        <w:tblStyle w:val="TableGrid"/>
        <w:tblW w:w="0" w:type="auto"/>
        <w:tblBorders>
          <w:left w:val="none" w:sz="0" w:space="0" w:color="auto"/>
          <w:bottom w:val="single" w:sz="12" w:space="0" w:color="004C6C" w:themeColor="background2"/>
          <w:right w:val="none" w:sz="0" w:space="0" w:color="auto"/>
          <w:insideH w:val="none" w:sz="0" w:space="0" w:color="auto"/>
          <w:insideV w:val="none" w:sz="0" w:space="0" w:color="auto"/>
        </w:tblBorders>
        <w:tblLook w:val="04A0" w:firstRow="1" w:lastRow="0" w:firstColumn="1" w:lastColumn="0" w:noHBand="0" w:noVBand="1"/>
      </w:tblPr>
      <w:tblGrid>
        <w:gridCol w:w="786"/>
        <w:gridCol w:w="9680"/>
      </w:tblGrid>
      <w:tr w:rsidR="00C23E7F" w:rsidRPr="004C32D4" w14:paraId="6496651C" w14:textId="77777777" w:rsidTr="00C23E7F">
        <w:tc>
          <w:tcPr>
            <w:tcW w:w="786" w:type="dxa"/>
            <w:shd w:val="clear" w:color="auto" w:fill="auto"/>
          </w:tcPr>
          <w:p w14:paraId="0BF756C8" w14:textId="77777777" w:rsidR="00C23E7F" w:rsidRPr="004C32D4" w:rsidRDefault="00C23E7F" w:rsidP="00CE5350">
            <w:pPr>
              <w:spacing w:before="120" w:after="120"/>
            </w:pPr>
            <w:r w:rsidRPr="004C32D4">
              <w:rPr>
                <w:noProof/>
              </w:rPr>
              <w:drawing>
                <wp:inline distT="0" distB="0" distL="0" distR="0" wp14:anchorId="2E409847" wp14:editId="7F1E9CC1">
                  <wp:extent cx="352425" cy="352425"/>
                  <wp:effectExtent l="0" t="0" r="9525" b="9525"/>
                  <wp:docPr id="2129638138"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38138" name="Graphic 2129638138" descr="Information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62405" cy="362405"/>
                          </a:xfrm>
                          <a:prstGeom prst="rect">
                            <a:avLst/>
                          </a:prstGeom>
                        </pic:spPr>
                      </pic:pic>
                    </a:graphicData>
                  </a:graphic>
                </wp:inline>
              </w:drawing>
            </w:r>
          </w:p>
        </w:tc>
        <w:tc>
          <w:tcPr>
            <w:tcW w:w="9680" w:type="dxa"/>
            <w:tcBorders>
              <w:top w:val="single" w:sz="4" w:space="0" w:color="004C6C"/>
            </w:tcBorders>
            <w:shd w:val="clear" w:color="auto" w:fill="auto"/>
          </w:tcPr>
          <w:p w14:paraId="4CF1CA7B" w14:textId="77777777" w:rsidR="00C23E7F" w:rsidRPr="004C32D4" w:rsidRDefault="00C23E7F" w:rsidP="00CE5350">
            <w:pPr>
              <w:spacing w:before="120" w:after="120"/>
              <w:rPr>
                <w:b/>
                <w:bCs/>
              </w:rPr>
            </w:pPr>
            <w:r w:rsidRPr="004C32D4">
              <w:rPr>
                <w:b/>
                <w:bCs/>
              </w:rPr>
              <w:t>Information for employees</w:t>
            </w:r>
          </w:p>
          <w:p w14:paraId="72F19D7B" w14:textId="78004938" w:rsidR="00C23E7F" w:rsidRPr="004C32D4" w:rsidRDefault="00C23E7F" w:rsidP="00CE5350">
            <w:pPr>
              <w:spacing w:before="120" w:after="120"/>
            </w:pPr>
            <w:r w:rsidRPr="004C32D4">
              <w:t xml:space="preserve">For your employer to pay you the </w:t>
            </w:r>
            <w:hyperlink r:id="rId13" w:history="1">
              <w:r w:rsidRPr="004C32D4">
                <w:rPr>
                  <w:rStyle w:val="Hyperlink"/>
                </w:rPr>
                <w:t>worker retention payment</w:t>
              </w:r>
            </w:hyperlink>
            <w:r w:rsidRPr="004C32D4">
              <w:t xml:space="preserve">, they must employ you under a workplace instrument that meets grant conditions. </w:t>
            </w:r>
          </w:p>
          <w:p w14:paraId="3A337EDB" w14:textId="2FB40C16" w:rsidR="00C23E7F" w:rsidRPr="004C32D4" w:rsidRDefault="00C23E7F" w:rsidP="00CE5350">
            <w:pPr>
              <w:spacing w:before="120" w:after="120"/>
            </w:pPr>
            <w:r w:rsidRPr="004C32D4">
              <w:t xml:space="preserve">This </w:t>
            </w:r>
            <w:r w:rsidR="008748AB" w:rsidRPr="004C32D4">
              <w:t>factsheet</w:t>
            </w:r>
            <w:r w:rsidRPr="004C32D4">
              <w:t xml:space="preserve"> has information about the types of </w:t>
            </w:r>
            <w:proofErr w:type="gramStart"/>
            <w:r w:rsidRPr="004C32D4">
              <w:t>workplace</w:t>
            </w:r>
            <w:proofErr w:type="gramEnd"/>
            <w:r w:rsidRPr="004C32D4">
              <w:t xml:space="preserve"> instruments your employer may use.</w:t>
            </w:r>
          </w:p>
        </w:tc>
      </w:tr>
    </w:tbl>
    <w:p w14:paraId="78B1BCEF" w14:textId="77777777" w:rsidR="00C23E7F" w:rsidRPr="004C32D4" w:rsidRDefault="00C23E7F" w:rsidP="00C23E7F">
      <w:pPr>
        <w:pStyle w:val="Heading2"/>
      </w:pPr>
      <w:r w:rsidRPr="004C32D4">
        <w:t>Workplace instruments</w:t>
      </w:r>
    </w:p>
    <w:p w14:paraId="77E3C169" w14:textId="38E79B97" w:rsidR="00C23E7F" w:rsidRPr="004C32D4" w:rsidRDefault="00C23E7F" w:rsidP="00C23E7F">
      <w:r w:rsidRPr="004C32D4">
        <w:t xml:space="preserve">The term workplace instrument is defined in the </w:t>
      </w:r>
      <w:r w:rsidRPr="004C32D4">
        <w:rPr>
          <w:i/>
          <w:iCs/>
        </w:rPr>
        <w:t>Fair Work Act</w:t>
      </w:r>
      <w:r w:rsidR="00BD092B" w:rsidRPr="004C32D4">
        <w:rPr>
          <w:i/>
          <w:iCs/>
        </w:rPr>
        <w:t xml:space="preserve"> 2009</w:t>
      </w:r>
      <w:r w:rsidRPr="004C32D4">
        <w:t>. A workplace instrument is a legally enforceable document that sets out the terms and conditions of employment, like:</w:t>
      </w:r>
    </w:p>
    <w:p w14:paraId="777FD453" w14:textId="77777777" w:rsidR="00C23E7F" w:rsidRPr="004C32D4" w:rsidRDefault="00C23E7F" w:rsidP="00C23E7F">
      <w:pPr>
        <w:pStyle w:val="ListParagraph"/>
        <w:numPr>
          <w:ilvl w:val="0"/>
          <w:numId w:val="20"/>
        </w:numPr>
      </w:pPr>
      <w:r w:rsidRPr="004C32D4">
        <w:t>pay rates</w:t>
      </w:r>
    </w:p>
    <w:p w14:paraId="7E0165AA" w14:textId="77777777" w:rsidR="00C23E7F" w:rsidRPr="004C32D4" w:rsidRDefault="00C23E7F" w:rsidP="00C23E7F">
      <w:pPr>
        <w:pStyle w:val="ListParagraph"/>
        <w:numPr>
          <w:ilvl w:val="0"/>
          <w:numId w:val="20"/>
        </w:numPr>
      </w:pPr>
      <w:r w:rsidRPr="004C32D4">
        <w:t>penalties and loadings</w:t>
      </w:r>
    </w:p>
    <w:p w14:paraId="16A63228" w14:textId="219EC2A3" w:rsidR="00C23E7F" w:rsidRPr="004C32D4" w:rsidRDefault="00C23E7F" w:rsidP="00C23E7F">
      <w:pPr>
        <w:pStyle w:val="ListParagraph"/>
        <w:numPr>
          <w:ilvl w:val="0"/>
          <w:numId w:val="20"/>
        </w:numPr>
      </w:pPr>
      <w:r w:rsidRPr="004C32D4">
        <w:t>working hours</w:t>
      </w:r>
    </w:p>
    <w:p w14:paraId="00DEE4B4" w14:textId="77777777" w:rsidR="00C23E7F" w:rsidRPr="004C32D4" w:rsidRDefault="00C23E7F" w:rsidP="00C23E7F">
      <w:pPr>
        <w:pStyle w:val="ListParagraph"/>
        <w:numPr>
          <w:ilvl w:val="0"/>
          <w:numId w:val="20"/>
        </w:numPr>
      </w:pPr>
      <w:r w:rsidRPr="004C32D4">
        <w:t>leave entitlements.</w:t>
      </w:r>
    </w:p>
    <w:p w14:paraId="34A2BFC3" w14:textId="4B5CF529" w:rsidR="00C23E7F" w:rsidRPr="004C32D4" w:rsidRDefault="00C23E7F" w:rsidP="00C23E7F">
      <w:r w:rsidRPr="004C32D4">
        <w:t xml:space="preserve">Some examples of workplace instruments are outlined below. This is not an exhaustive list. </w:t>
      </w:r>
    </w:p>
    <w:p w14:paraId="62A37AA8" w14:textId="77777777" w:rsidR="00C23E7F" w:rsidRPr="004C32D4" w:rsidRDefault="00C23E7F" w:rsidP="00C23E7F">
      <w:pPr>
        <w:pStyle w:val="Heading3"/>
      </w:pPr>
      <w:r w:rsidRPr="004C32D4">
        <w:t>Enterprise agreements</w:t>
      </w:r>
    </w:p>
    <w:p w14:paraId="34A57648" w14:textId="5A2D7554" w:rsidR="00C23E7F" w:rsidRPr="004C32D4" w:rsidRDefault="00C23E7F" w:rsidP="00C23E7F">
      <w:r w:rsidRPr="004C32D4">
        <w:t xml:space="preserve">An </w:t>
      </w:r>
      <w:r w:rsidRPr="004C32D4">
        <w:rPr>
          <w:b/>
          <w:bCs/>
        </w:rPr>
        <w:t>enterprise agreement</w:t>
      </w:r>
      <w:r w:rsidRPr="004C32D4">
        <w:t xml:space="preserve"> is a workplace instrument tailored to the needs of the business and its employees.  </w:t>
      </w:r>
    </w:p>
    <w:p w14:paraId="4AB771E3" w14:textId="77777777" w:rsidR="00C23E7F" w:rsidRPr="004C32D4" w:rsidRDefault="00C23E7F" w:rsidP="00C23E7F">
      <w:r w:rsidRPr="004C32D4">
        <w:t>They can be made between: </w:t>
      </w:r>
    </w:p>
    <w:p w14:paraId="7A98E11C" w14:textId="7AD58974" w:rsidR="00C23E7F" w:rsidRPr="004C32D4" w:rsidRDefault="00C23E7F" w:rsidP="00C23E7F">
      <w:pPr>
        <w:pStyle w:val="ListParagraph"/>
        <w:numPr>
          <w:ilvl w:val="0"/>
          <w:numId w:val="24"/>
        </w:numPr>
      </w:pPr>
      <w:r w:rsidRPr="004C32D4">
        <w:t>one employer and their employees (single-enterprise agreement) </w:t>
      </w:r>
    </w:p>
    <w:p w14:paraId="5600F298" w14:textId="6D0726AB" w:rsidR="00C23E7F" w:rsidRPr="004C32D4" w:rsidRDefault="00C23E7F" w:rsidP="00C23E7F">
      <w:pPr>
        <w:pStyle w:val="ListParagraph"/>
        <w:numPr>
          <w:ilvl w:val="0"/>
          <w:numId w:val="24"/>
        </w:numPr>
      </w:pPr>
      <w:r w:rsidRPr="004C32D4">
        <w:t>2 or more employers and their employees (multi-enterprise agreement).</w:t>
      </w:r>
    </w:p>
    <w:p w14:paraId="7D67A222" w14:textId="2788A5C1" w:rsidR="00C23E7F" w:rsidRPr="004C32D4" w:rsidRDefault="00C23E7F" w:rsidP="00181B05">
      <w:pPr>
        <w:keepNext/>
      </w:pPr>
      <w:r w:rsidRPr="004C32D4">
        <w:t xml:space="preserve">Existing </w:t>
      </w:r>
      <w:r w:rsidR="00207893" w:rsidRPr="004C32D4">
        <w:t xml:space="preserve">enterprise agreements </w:t>
      </w:r>
      <w:r w:rsidRPr="004C32D4">
        <w:t>that are not compliant with the conditions of the worker retention payment may be made compliant th</w:t>
      </w:r>
      <w:r w:rsidR="002533ED" w:rsidRPr="004C32D4">
        <w:t>r</w:t>
      </w:r>
      <w:r w:rsidRPr="004C32D4">
        <w:t>ough:</w:t>
      </w:r>
    </w:p>
    <w:p w14:paraId="75B3351F" w14:textId="650C90AE" w:rsidR="00C23E7F" w:rsidRPr="004C32D4" w:rsidRDefault="00C23E7F" w:rsidP="00C23E7F">
      <w:pPr>
        <w:pStyle w:val="ListParagraph"/>
        <w:numPr>
          <w:ilvl w:val="0"/>
          <w:numId w:val="26"/>
        </w:numPr>
      </w:pPr>
      <w:r w:rsidRPr="004C32D4">
        <w:t xml:space="preserve">a variation to </w:t>
      </w:r>
      <w:r w:rsidR="007B354C" w:rsidRPr="004C32D4">
        <w:t xml:space="preserve">the </w:t>
      </w:r>
      <w:r w:rsidRPr="004C32D4">
        <w:t>enterprise agreement, or</w:t>
      </w:r>
    </w:p>
    <w:p w14:paraId="7709E915" w14:textId="77777777" w:rsidR="00C23E7F" w:rsidRPr="004C32D4" w:rsidRDefault="00C23E7F" w:rsidP="00C23E7F">
      <w:pPr>
        <w:pStyle w:val="ListParagraph"/>
        <w:numPr>
          <w:ilvl w:val="0"/>
          <w:numId w:val="26"/>
        </w:numPr>
      </w:pPr>
      <w:r w:rsidRPr="004C32D4">
        <w:t>an IFA.</w:t>
      </w:r>
    </w:p>
    <w:p w14:paraId="523FD086" w14:textId="77777777" w:rsidR="00C23E7F" w:rsidRPr="004C32D4" w:rsidRDefault="00C23E7F" w:rsidP="00C23E7F">
      <w:r w:rsidRPr="004C32D4">
        <w:rPr>
          <w:b/>
          <w:bCs/>
        </w:rPr>
        <w:t>Multi-enterprise agreements</w:t>
      </w:r>
      <w:r w:rsidRPr="004C32D4">
        <w:t xml:space="preserve"> include:</w:t>
      </w:r>
    </w:p>
    <w:p w14:paraId="752F954B" w14:textId="77777777" w:rsidR="00C23E7F" w:rsidRPr="004C32D4" w:rsidRDefault="00C23E7F" w:rsidP="00C23E7F">
      <w:pPr>
        <w:pStyle w:val="ListParagraph"/>
        <w:numPr>
          <w:ilvl w:val="0"/>
          <w:numId w:val="25"/>
        </w:numPr>
      </w:pPr>
      <w:hyperlink r:id="rId14" w:history="1">
        <w:r w:rsidRPr="004C32D4">
          <w:rPr>
            <w:rStyle w:val="Hyperlink"/>
          </w:rPr>
          <w:t>supported bargaining agreements</w:t>
        </w:r>
      </w:hyperlink>
      <w:r w:rsidRPr="004C32D4">
        <w:t>, like the one being made to cover some employers in the ECEC sector</w:t>
      </w:r>
    </w:p>
    <w:p w14:paraId="3D7F5EAC" w14:textId="3E85E0B0" w:rsidR="00C23E7F" w:rsidRPr="004C32D4" w:rsidRDefault="00C23E7F" w:rsidP="00C23E7F">
      <w:pPr>
        <w:pStyle w:val="ListParagraph"/>
        <w:numPr>
          <w:ilvl w:val="0"/>
          <w:numId w:val="25"/>
        </w:numPr>
      </w:pPr>
      <w:hyperlink r:id="rId15" w:history="1">
        <w:r w:rsidRPr="004C32D4">
          <w:rPr>
            <w:rStyle w:val="Hyperlink"/>
          </w:rPr>
          <w:t>single interest employer agreements</w:t>
        </w:r>
      </w:hyperlink>
    </w:p>
    <w:p w14:paraId="5A5FD336" w14:textId="77777777" w:rsidR="00C23E7F" w:rsidRPr="004C32D4" w:rsidRDefault="00C23E7F" w:rsidP="00C23E7F">
      <w:pPr>
        <w:pStyle w:val="ListParagraph"/>
        <w:numPr>
          <w:ilvl w:val="0"/>
          <w:numId w:val="25"/>
        </w:numPr>
      </w:pPr>
      <w:hyperlink r:id="rId16" w:history="1">
        <w:r w:rsidRPr="004C32D4">
          <w:rPr>
            <w:rStyle w:val="Hyperlink"/>
          </w:rPr>
          <w:t>cooperative workplace agreements</w:t>
        </w:r>
      </w:hyperlink>
      <w:r w:rsidRPr="004C32D4">
        <w:t>, which can be made without authorisation from the FWC.</w:t>
      </w:r>
    </w:p>
    <w:p w14:paraId="29369995" w14:textId="05448CC1" w:rsidR="00C23E7F" w:rsidRPr="004C32D4" w:rsidRDefault="00C23E7F" w:rsidP="00C23E7F">
      <w:r w:rsidRPr="004C32D4">
        <w:t xml:space="preserve">The </w:t>
      </w:r>
      <w:r w:rsidR="00BD092B" w:rsidRPr="004C32D4">
        <w:t>Fair Work Ombudsman (</w:t>
      </w:r>
      <w:r w:rsidRPr="004C32D4">
        <w:t>FWO</w:t>
      </w:r>
      <w:r w:rsidR="00BD092B" w:rsidRPr="004C32D4">
        <w:t>)</w:t>
      </w:r>
      <w:r w:rsidRPr="004C32D4">
        <w:t xml:space="preserve"> provides more information about </w:t>
      </w:r>
      <w:hyperlink r:id="rId17" w:history="1">
        <w:r w:rsidRPr="004C32D4">
          <w:rPr>
            <w:rStyle w:val="Hyperlink"/>
          </w:rPr>
          <w:t>enterprise agreements and bargaining</w:t>
        </w:r>
      </w:hyperlink>
      <w:r w:rsidRPr="004C32D4">
        <w:t>. </w:t>
      </w:r>
    </w:p>
    <w:p w14:paraId="5A1C63AE" w14:textId="77777777" w:rsidR="008853F6" w:rsidRPr="004C32D4" w:rsidRDefault="008853F6" w:rsidP="008853F6">
      <w:r w:rsidRPr="004C32D4">
        <w:rPr>
          <w:b/>
          <w:bCs/>
        </w:rPr>
        <w:t>Bargaining</w:t>
      </w:r>
      <w:r w:rsidRPr="004C32D4">
        <w:t> is when employers and employees negotiate the terms and conditions of employment. It’s done with the goal of forming of an enterprise agreement. During bargaining, employees can be represented by representatives like unions.</w:t>
      </w:r>
    </w:p>
    <w:p w14:paraId="0E28FBCE" w14:textId="77777777" w:rsidR="008853F6" w:rsidRPr="004C32D4" w:rsidRDefault="008853F6" w:rsidP="008853F6">
      <w:r w:rsidRPr="004C32D4">
        <w:t>On 6 June 2023, bargaining reforms under the </w:t>
      </w:r>
      <w:hyperlink r:id="rId18" w:history="1">
        <w:r w:rsidRPr="004C32D4">
          <w:rPr>
            <w:rStyle w:val="Hyperlink"/>
            <w:i/>
            <w:iCs/>
          </w:rPr>
          <w:t>Secure Jobs, Better Pay Act</w:t>
        </w:r>
      </w:hyperlink>
      <w:r w:rsidRPr="004C32D4">
        <w:t xml:space="preserve"> came into effect. This amended the </w:t>
      </w:r>
      <w:r w:rsidRPr="004C32D4">
        <w:rPr>
          <w:i/>
          <w:iCs/>
        </w:rPr>
        <w:t xml:space="preserve">Fair Work Act 2009 </w:t>
      </w:r>
      <w:r w:rsidRPr="004C32D4">
        <w:t>and placed gender equity at the heart of the workplace relations system. </w:t>
      </w:r>
    </w:p>
    <w:p w14:paraId="2A5A8F0B" w14:textId="3713AD8F" w:rsidR="00207893" w:rsidRPr="004C32D4" w:rsidRDefault="008853F6" w:rsidP="008853F6">
      <w:r w:rsidRPr="004C32D4">
        <w:t xml:space="preserve">The amendments mean the </w:t>
      </w:r>
      <w:r w:rsidR="00BD092B" w:rsidRPr="004C32D4">
        <w:t xml:space="preserve">Fair Work Commission (FWC) </w:t>
      </w:r>
      <w:r w:rsidRPr="004C32D4">
        <w:t>can provide greater access to bargaining for lower-paid sectors. This is done through reforms to the previous low-paid bargaining stream. It’s now called the supported bargaining stream.</w:t>
      </w:r>
    </w:p>
    <w:p w14:paraId="1831536D" w14:textId="6F631668" w:rsidR="008853F6" w:rsidRPr="004C32D4" w:rsidRDefault="008853F6" w:rsidP="008853F6">
      <w:r w:rsidRPr="004C32D4">
        <w:t xml:space="preserve">Supported bargaining is a new process where employers and </w:t>
      </w:r>
      <w:r w:rsidR="00CE6635" w:rsidRPr="004C32D4">
        <w:t xml:space="preserve">employees </w:t>
      </w:r>
      <w:r w:rsidRPr="004C32D4">
        <w:t xml:space="preserve">can bargain collectively with other employers or </w:t>
      </w:r>
      <w:r w:rsidR="00CE6635" w:rsidRPr="004C32D4">
        <w:t xml:space="preserve">employees </w:t>
      </w:r>
      <w:r w:rsidRPr="004C32D4">
        <w:t>in their sector, with support from the FWC. </w:t>
      </w:r>
    </w:p>
    <w:p w14:paraId="47E7D069" w14:textId="77777777" w:rsidR="00207893" w:rsidRPr="004C32D4" w:rsidRDefault="00207893" w:rsidP="00207893">
      <w:r w:rsidRPr="004C32D4">
        <w:t xml:space="preserve">Supported bargaining outcomes must lead to employees being better off overall than the pay and conditions set out in awards. </w:t>
      </w:r>
    </w:p>
    <w:p w14:paraId="065A3499" w14:textId="77777777" w:rsidR="00207893" w:rsidRPr="004C32D4" w:rsidRDefault="00207893" w:rsidP="00207893">
      <w:r w:rsidRPr="004C32D4">
        <w:t xml:space="preserve">A </w:t>
      </w:r>
      <w:r w:rsidRPr="004C32D4">
        <w:rPr>
          <w:b/>
          <w:bCs/>
        </w:rPr>
        <w:t>supported bargaining agreement</w:t>
      </w:r>
      <w:r w:rsidRPr="004C32D4">
        <w:t xml:space="preserve"> is a type of multi-enterprise agreement.  </w:t>
      </w:r>
    </w:p>
    <w:p w14:paraId="2AEB8552" w14:textId="77777777" w:rsidR="00207893" w:rsidRPr="004C32D4" w:rsidRDefault="00207893" w:rsidP="00207893">
      <w:r w:rsidRPr="004C32D4">
        <w:t xml:space="preserve">In September 2023, the FWC made a supported bargaining authorisation covering 64 Centre Based Day Care providers, their employees and their unions. </w:t>
      </w:r>
    </w:p>
    <w:p w14:paraId="20D5B0DE" w14:textId="3C191FF3" w:rsidR="00207893" w:rsidRPr="004C32D4" w:rsidRDefault="00207893" w:rsidP="00207893">
      <w:r w:rsidRPr="004C32D4">
        <w:t xml:space="preserve">This may lead to a supported bargaining agreement which will set out terms and conditions of employment for a number of different employers and their employees.  </w:t>
      </w:r>
    </w:p>
    <w:p w14:paraId="03FD9CF2" w14:textId="5F7D2200" w:rsidR="007B354C" w:rsidRPr="004C32D4" w:rsidRDefault="00207893" w:rsidP="00207893">
      <w:r w:rsidRPr="004C32D4">
        <w:t>The Commonwealth has been participating as a third party in supported bargaining conferences and will continue to support the process</w:t>
      </w:r>
      <w:r w:rsidR="007B354C" w:rsidRPr="004C32D4">
        <w:t>.</w:t>
      </w:r>
    </w:p>
    <w:p w14:paraId="40EEF11E" w14:textId="56519170" w:rsidR="00207893" w:rsidRPr="004C32D4" w:rsidRDefault="00207893" w:rsidP="00207893">
      <w:r w:rsidRPr="004C32D4">
        <w:t>When a supported bargaining agreement comes into effect, other employers can apply to join it.</w:t>
      </w:r>
      <w:r w:rsidR="007B354C" w:rsidRPr="004C32D4">
        <w:t xml:space="preserve"> They</w:t>
      </w:r>
      <w:r w:rsidRPr="004C32D4">
        <w:t xml:space="preserve"> must ask their employees to vote for the agreement to</w:t>
      </w:r>
      <w:r w:rsidR="007B354C" w:rsidRPr="004C32D4">
        <w:t xml:space="preserve"> be varied to</w:t>
      </w:r>
      <w:r w:rsidRPr="004C32D4">
        <w:t xml:space="preserve"> cover them. If </w:t>
      </w:r>
      <w:r w:rsidR="007B354C" w:rsidRPr="004C32D4">
        <w:t>most</w:t>
      </w:r>
      <w:r w:rsidRPr="004C32D4">
        <w:t xml:space="preserve"> employees approve the vote, the employer must apply to the FWC for approval of the variation.</w:t>
      </w:r>
    </w:p>
    <w:p w14:paraId="752E3C0D" w14:textId="782B7184" w:rsidR="00C23E7F" w:rsidRPr="004C32D4" w:rsidRDefault="00C23E7F" w:rsidP="00C23E7F">
      <w:pPr>
        <w:pStyle w:val="Heading3"/>
      </w:pPr>
      <w:r w:rsidRPr="004C32D4">
        <w:t>Individual flexibility arrangements</w:t>
      </w:r>
    </w:p>
    <w:p w14:paraId="09C2AC59" w14:textId="77777777" w:rsidR="00C23E7F" w:rsidRPr="004C32D4" w:rsidRDefault="00C23E7F" w:rsidP="00C23E7F">
      <w:r w:rsidRPr="004C32D4">
        <w:t xml:space="preserve">An </w:t>
      </w:r>
      <w:r w:rsidRPr="004C32D4">
        <w:rPr>
          <w:b/>
          <w:bCs/>
        </w:rPr>
        <w:t>individual flexibility arrangement</w:t>
      </w:r>
      <w:r w:rsidRPr="004C32D4">
        <w:t xml:space="preserve">, or IFA, is a formal written agreement between an employer and an individual employee. </w:t>
      </w:r>
    </w:p>
    <w:p w14:paraId="0C5A7BEC" w14:textId="77777777" w:rsidR="00C23E7F" w:rsidRPr="004C32D4" w:rsidRDefault="00C23E7F" w:rsidP="00C23E7F">
      <w:r w:rsidRPr="004C32D4">
        <w:t>An IFA varies the effect of an award or enterprise agreement on an individual basis to meet the genuine needs of the employer and employee.</w:t>
      </w:r>
    </w:p>
    <w:p w14:paraId="0650B8F2" w14:textId="77777777" w:rsidR="00C23E7F" w:rsidRPr="004C32D4" w:rsidRDefault="00C23E7F" w:rsidP="00C23E7F">
      <w:r w:rsidRPr="004C32D4">
        <w:t>Existing workplace instruments that are not compliant with the conditions of the worker retention payment may be made compliant though an IFA.</w:t>
      </w:r>
    </w:p>
    <w:p w14:paraId="61D3D5D5" w14:textId="77777777" w:rsidR="00C23E7F" w:rsidRPr="004C32D4" w:rsidRDefault="00C23E7F" w:rsidP="00C23E7F">
      <w:r w:rsidRPr="004C32D4">
        <w:t>The FWO provides information about </w:t>
      </w:r>
      <w:hyperlink r:id="rId19">
        <w:r w:rsidRPr="004C32D4">
          <w:rPr>
            <w:rStyle w:val="Hyperlink"/>
          </w:rPr>
          <w:t>individual flexibility arrangements</w:t>
        </w:r>
      </w:hyperlink>
      <w:r w:rsidRPr="004C32D4">
        <w:t>. </w:t>
      </w:r>
    </w:p>
    <w:p w14:paraId="240647A9" w14:textId="77777777" w:rsidR="00C23E7F" w:rsidRPr="004C32D4" w:rsidRDefault="00C23E7F" w:rsidP="00C23E7F">
      <w:pPr>
        <w:pStyle w:val="Heading3"/>
      </w:pPr>
      <w:r w:rsidRPr="004C32D4">
        <w:t>State industrial instruments</w:t>
      </w:r>
    </w:p>
    <w:p w14:paraId="1FF7E425" w14:textId="77777777" w:rsidR="00C23E7F" w:rsidRPr="004C32D4" w:rsidRDefault="00C23E7F" w:rsidP="00C23E7F">
      <w:r w:rsidRPr="004C32D4">
        <w:t xml:space="preserve">A </w:t>
      </w:r>
      <w:r w:rsidRPr="004C32D4">
        <w:rPr>
          <w:b/>
          <w:bCs/>
        </w:rPr>
        <w:t>state industrial instrument</w:t>
      </w:r>
      <w:r w:rsidRPr="004C32D4">
        <w:t xml:space="preserve"> is an award, enterprise agreement, or another type of agreement under state or territory industrial law.</w:t>
      </w:r>
    </w:p>
    <w:p w14:paraId="03F82E28" w14:textId="77777777" w:rsidR="00C23E7F" w:rsidRPr="004C32D4" w:rsidRDefault="00C23E7F" w:rsidP="00C23E7F">
      <w:r w:rsidRPr="004C32D4">
        <w:t>To find out more or get help, contact your state or territory’s:</w:t>
      </w:r>
    </w:p>
    <w:p w14:paraId="630F7408" w14:textId="77777777" w:rsidR="00C23E7F" w:rsidRPr="004C32D4" w:rsidRDefault="00C23E7F" w:rsidP="00C23E7F">
      <w:pPr>
        <w:pStyle w:val="ListParagraph"/>
        <w:numPr>
          <w:ilvl w:val="0"/>
          <w:numId w:val="27"/>
        </w:numPr>
      </w:pPr>
      <w:r w:rsidRPr="004C32D4">
        <w:t xml:space="preserve">Industrial Relations Commission </w:t>
      </w:r>
    </w:p>
    <w:p w14:paraId="62E341A4" w14:textId="77777777" w:rsidR="00C23E7F" w:rsidRPr="004C32D4" w:rsidRDefault="00C23E7F" w:rsidP="00C23E7F">
      <w:pPr>
        <w:pStyle w:val="ListParagraph"/>
        <w:numPr>
          <w:ilvl w:val="0"/>
          <w:numId w:val="27"/>
        </w:numPr>
      </w:pPr>
      <w:r w:rsidRPr="004C32D4">
        <w:t>Employment Tribunal.</w:t>
      </w:r>
    </w:p>
    <w:p w14:paraId="54FF7236" w14:textId="77777777" w:rsidR="004C6D35" w:rsidRPr="004C32D4" w:rsidRDefault="004C6D35" w:rsidP="00B65183">
      <w:pPr>
        <w:pStyle w:val="Heading3"/>
      </w:pPr>
      <w:r w:rsidRPr="004C32D4">
        <w:t>Awards</w:t>
      </w:r>
    </w:p>
    <w:p w14:paraId="66CD65F2" w14:textId="0B6AD5D3" w:rsidR="004C6D35" w:rsidRPr="004C32D4" w:rsidRDefault="004C6D35" w:rsidP="004C6D35">
      <w:r w:rsidRPr="004C32D4">
        <w:t xml:space="preserve">Awards set out the </w:t>
      </w:r>
      <w:r w:rsidRPr="004C32D4">
        <w:rPr>
          <w:b/>
          <w:bCs/>
        </w:rPr>
        <w:t>minimum</w:t>
      </w:r>
      <w:r w:rsidRPr="004C32D4">
        <w:t xml:space="preserve"> pay rates and conditions of employment in a specific industry. There are 2</w:t>
      </w:r>
      <w:r w:rsidR="007B354C" w:rsidRPr="004C32D4">
        <w:t> </w:t>
      </w:r>
      <w:r w:rsidRPr="004C32D4">
        <w:t>primary modern awards that cover the ECEC workforce:</w:t>
      </w:r>
    </w:p>
    <w:p w14:paraId="70CCD711" w14:textId="7D87EB4A" w:rsidR="004C6D35" w:rsidRPr="004C32D4" w:rsidRDefault="004C6D35" w:rsidP="007B354C">
      <w:pPr>
        <w:pStyle w:val="ListParagraph"/>
        <w:numPr>
          <w:ilvl w:val="0"/>
          <w:numId w:val="33"/>
        </w:numPr>
      </w:pPr>
      <w:r w:rsidRPr="004C32D4">
        <w:rPr>
          <w:i/>
          <w:iCs/>
        </w:rPr>
        <w:t>Children’s Services Award 2010</w:t>
      </w:r>
      <w:r w:rsidRPr="004C32D4">
        <w:t>, which covers educators</w:t>
      </w:r>
    </w:p>
    <w:p w14:paraId="7D63A56D" w14:textId="77777777" w:rsidR="004C6D35" w:rsidRPr="004C32D4" w:rsidRDefault="004C6D35" w:rsidP="007B354C">
      <w:pPr>
        <w:pStyle w:val="ListParagraph"/>
        <w:numPr>
          <w:ilvl w:val="0"/>
          <w:numId w:val="33"/>
        </w:numPr>
      </w:pPr>
      <w:r w:rsidRPr="004C32D4">
        <w:rPr>
          <w:i/>
          <w:iCs/>
        </w:rPr>
        <w:t>Educational Services (Teachers) Award 2020</w:t>
      </w:r>
      <w:r w:rsidRPr="004C32D4">
        <w:t>, which covers early childhood teachers.</w:t>
      </w:r>
    </w:p>
    <w:p w14:paraId="72CE4958" w14:textId="407CFDAD" w:rsidR="004C6D35" w:rsidRPr="004C32D4" w:rsidRDefault="004C6D35" w:rsidP="004C6D35">
      <w:r w:rsidRPr="004C32D4">
        <w:t>Every year, the FWC reviews the minimum rates of pay in modern awards to decide if they should be increased. This is the </w:t>
      </w:r>
      <w:hyperlink r:id="rId20" w:history="1">
        <w:r w:rsidRPr="004C32D4">
          <w:rPr>
            <w:rStyle w:val="Hyperlink"/>
          </w:rPr>
          <w:t>annual wage review</w:t>
        </w:r>
      </w:hyperlink>
      <w:r w:rsidRPr="004C32D4">
        <w:t>.</w:t>
      </w:r>
    </w:p>
    <w:p w14:paraId="6EE0B3D2" w14:textId="77777777" w:rsidR="004C6D35" w:rsidRPr="004C32D4" w:rsidRDefault="004C6D35" w:rsidP="004C6D35">
      <w:r w:rsidRPr="004C32D4">
        <w:t>The FWC is currently undertaking a process to examine five modern awards, including the </w:t>
      </w:r>
      <w:r w:rsidRPr="004C32D4">
        <w:rPr>
          <w:i/>
          <w:iCs/>
        </w:rPr>
        <w:t>Children’s Services Award 2010. </w:t>
      </w:r>
      <w:r w:rsidRPr="004C32D4">
        <w:t>This is the </w:t>
      </w:r>
      <w:hyperlink r:id="rId21" w:history="1">
        <w:r w:rsidRPr="004C32D4">
          <w:rPr>
            <w:rStyle w:val="Hyperlink"/>
          </w:rPr>
          <w:t>gender undervaluation priority awards review</w:t>
        </w:r>
      </w:hyperlink>
      <w:r w:rsidRPr="004C32D4">
        <w:t>. </w:t>
      </w:r>
    </w:p>
    <w:p w14:paraId="3D5F6D0F" w14:textId="252638AE" w:rsidR="004C6D35" w:rsidRPr="004C32D4" w:rsidRDefault="004C6D35" w:rsidP="004C6D35">
      <w:r w:rsidRPr="004C32D4">
        <w:t>The FWO provides more </w:t>
      </w:r>
      <w:hyperlink r:id="rId22" w:history="1">
        <w:r w:rsidRPr="004C32D4">
          <w:rPr>
            <w:rStyle w:val="Hyperlink"/>
          </w:rPr>
          <w:t>information about awards</w:t>
        </w:r>
      </w:hyperlink>
      <w:r w:rsidRPr="004C32D4">
        <w:t xml:space="preserve">.  </w:t>
      </w:r>
    </w:p>
    <w:p w14:paraId="764E3BB0" w14:textId="4CA31B91" w:rsidR="00B65183" w:rsidRPr="004C32D4" w:rsidRDefault="00B65183" w:rsidP="00B65183">
      <w:bookmarkStart w:id="2" w:name="_Hlk183520281"/>
      <w:r w:rsidRPr="004C32D4">
        <w:t>Awards alone do not meet the conditions of the worker retention payment. Awards may be made compliant though:</w:t>
      </w:r>
    </w:p>
    <w:p w14:paraId="3254C5C6" w14:textId="4A2A0E9E" w:rsidR="00B65183" w:rsidRPr="004C32D4" w:rsidRDefault="006B57F2" w:rsidP="00B65183">
      <w:pPr>
        <w:pStyle w:val="ListParagraph"/>
        <w:numPr>
          <w:ilvl w:val="0"/>
          <w:numId w:val="32"/>
        </w:numPr>
        <w:ind w:left="714" w:hanging="357"/>
      </w:pPr>
      <w:r w:rsidRPr="004C32D4">
        <w:t>making a</w:t>
      </w:r>
      <w:r w:rsidR="00B65183" w:rsidRPr="004C32D4">
        <w:t>n enterprise agreement</w:t>
      </w:r>
      <w:r w:rsidRPr="004C32D4">
        <w:t xml:space="preserve"> to apply instead of the award</w:t>
      </w:r>
      <w:r w:rsidR="00207893" w:rsidRPr="004C32D4">
        <w:t>, or</w:t>
      </w:r>
    </w:p>
    <w:p w14:paraId="14257EA5" w14:textId="2DE61054" w:rsidR="00B65183" w:rsidRPr="004C32D4" w:rsidRDefault="00B65183" w:rsidP="00B65183">
      <w:pPr>
        <w:pStyle w:val="ListParagraph"/>
        <w:numPr>
          <w:ilvl w:val="0"/>
          <w:numId w:val="32"/>
        </w:numPr>
        <w:ind w:left="714" w:hanging="357"/>
      </w:pPr>
      <w:r w:rsidRPr="004C32D4">
        <w:t>an IFA.</w:t>
      </w:r>
    </w:p>
    <w:bookmarkEnd w:id="2"/>
    <w:p w14:paraId="3072DB5C" w14:textId="77777777" w:rsidR="00C23E7F" w:rsidRPr="004C32D4" w:rsidRDefault="00C23E7F" w:rsidP="00C23E7F">
      <w:pPr>
        <w:pStyle w:val="Heading2"/>
      </w:pPr>
      <w:r w:rsidRPr="004C32D4">
        <w:t>Useful resources</w:t>
      </w:r>
    </w:p>
    <w:p w14:paraId="415623BA" w14:textId="77777777" w:rsidR="00C23E7F" w:rsidRPr="004C32D4" w:rsidRDefault="00C23E7F" w:rsidP="00C23E7F">
      <w:pPr>
        <w:pStyle w:val="Heading3"/>
      </w:pPr>
      <w:r w:rsidRPr="004C32D4">
        <w:t>Fair Work Ombudsman</w:t>
      </w:r>
    </w:p>
    <w:p w14:paraId="20A55F1A" w14:textId="413183DF" w:rsidR="00C23E7F" w:rsidRPr="004C32D4" w:rsidRDefault="00C23E7F" w:rsidP="00C23E7F">
      <w:r w:rsidRPr="004C32D4">
        <w:t xml:space="preserve">The FWO provides education, assistance, advice and guidance to employers and employees. It also promotes and monitors compliance with workplace laws. On the FWO website at </w:t>
      </w:r>
      <w:hyperlink r:id="rId23" w:history="1">
        <w:r w:rsidRPr="004C32D4">
          <w:rPr>
            <w:rStyle w:val="Hyperlink"/>
          </w:rPr>
          <w:t>www.fairwork.gov.au</w:t>
        </w:r>
      </w:hyperlink>
      <w:r w:rsidRPr="004C32D4">
        <w:t xml:space="preserve"> you will find more information about: </w:t>
      </w:r>
    </w:p>
    <w:p w14:paraId="649FD75C" w14:textId="5AD1753C" w:rsidR="00C23E7F" w:rsidRPr="004C32D4" w:rsidRDefault="00C23E7F" w:rsidP="00C23E7F">
      <w:pPr>
        <w:pStyle w:val="ListParagraph"/>
        <w:numPr>
          <w:ilvl w:val="0"/>
          <w:numId w:val="28"/>
        </w:numPr>
      </w:pPr>
      <w:r w:rsidRPr="004C32D4">
        <w:t>awards</w:t>
      </w:r>
    </w:p>
    <w:p w14:paraId="7B5B9239" w14:textId="6C613C0F" w:rsidR="00C23E7F" w:rsidRPr="004C32D4" w:rsidRDefault="00C23E7F" w:rsidP="00C23E7F">
      <w:pPr>
        <w:pStyle w:val="ListParagraph"/>
        <w:numPr>
          <w:ilvl w:val="0"/>
          <w:numId w:val="28"/>
        </w:numPr>
      </w:pPr>
      <w:r w:rsidRPr="004C32D4">
        <w:t xml:space="preserve">agreements and bargaining </w:t>
      </w:r>
    </w:p>
    <w:p w14:paraId="7C1F96AD" w14:textId="5491C6BF" w:rsidR="00C23E7F" w:rsidRPr="004C32D4" w:rsidRDefault="00C23E7F" w:rsidP="00C23E7F">
      <w:pPr>
        <w:pStyle w:val="ListParagraph"/>
        <w:numPr>
          <w:ilvl w:val="0"/>
          <w:numId w:val="28"/>
        </w:numPr>
      </w:pPr>
      <w:r w:rsidRPr="004C32D4">
        <w:t>individual flexibility arrangements</w:t>
      </w:r>
    </w:p>
    <w:p w14:paraId="2A6CEE72" w14:textId="1EFC0519" w:rsidR="00C23E7F" w:rsidRPr="004C32D4" w:rsidRDefault="00C23E7F" w:rsidP="00C23E7F">
      <w:pPr>
        <w:pStyle w:val="ListParagraph"/>
        <w:numPr>
          <w:ilvl w:val="0"/>
          <w:numId w:val="28"/>
        </w:numPr>
      </w:pPr>
      <w:r w:rsidRPr="004C32D4">
        <w:t>guide to starting a new job</w:t>
      </w:r>
    </w:p>
    <w:p w14:paraId="4CE0BFAD" w14:textId="1722FFED" w:rsidR="00C23E7F" w:rsidRPr="004C32D4" w:rsidRDefault="00C23E7F" w:rsidP="00C23E7F">
      <w:pPr>
        <w:pStyle w:val="ListParagraph"/>
        <w:numPr>
          <w:ilvl w:val="0"/>
          <w:numId w:val="28"/>
        </w:numPr>
      </w:pPr>
      <w:r w:rsidRPr="004C32D4">
        <w:t>contacting the FWO.</w:t>
      </w:r>
    </w:p>
    <w:p w14:paraId="0DCB87E2" w14:textId="77777777" w:rsidR="00C23E7F" w:rsidRPr="004C32D4" w:rsidRDefault="00C23E7F" w:rsidP="00C23E7F">
      <w:pPr>
        <w:pStyle w:val="Heading3"/>
      </w:pPr>
      <w:r w:rsidRPr="004C32D4">
        <w:t>Fair Work Commission</w:t>
      </w:r>
    </w:p>
    <w:p w14:paraId="5428ACFC" w14:textId="7073265E" w:rsidR="00C23E7F" w:rsidRPr="004C32D4" w:rsidRDefault="00C23E7F" w:rsidP="00C23E7F">
      <w:r w:rsidRPr="004C32D4">
        <w:t xml:space="preserve">The FWC is the national workplace relations tribunal and unions regulator. On the FWC’s website at </w:t>
      </w:r>
      <w:hyperlink r:id="rId24" w:history="1">
        <w:r w:rsidR="00184309" w:rsidRPr="004C32D4">
          <w:rPr>
            <w:rStyle w:val="Hyperlink"/>
          </w:rPr>
          <w:t>www.fwc.gov.au</w:t>
        </w:r>
      </w:hyperlink>
      <w:r w:rsidR="00184309" w:rsidRPr="004C32D4">
        <w:t xml:space="preserve"> you will find:</w:t>
      </w:r>
    </w:p>
    <w:p w14:paraId="4B6D9761" w14:textId="35FBACAA" w:rsidR="00184309" w:rsidRPr="004C32D4" w:rsidRDefault="00184309" w:rsidP="00184309">
      <w:pPr>
        <w:pStyle w:val="ListParagraph"/>
        <w:numPr>
          <w:ilvl w:val="0"/>
          <w:numId w:val="29"/>
        </w:numPr>
        <w:spacing w:before="120" w:after="120"/>
      </w:pPr>
      <w:r w:rsidRPr="004C32D4">
        <w:t xml:space="preserve">Steps and timelines </w:t>
      </w:r>
      <w:r w:rsidR="002533ED" w:rsidRPr="004C32D4">
        <w:t xml:space="preserve">for </w:t>
      </w:r>
      <w:r w:rsidRPr="004C32D4">
        <w:t>mak</w:t>
      </w:r>
      <w:r w:rsidR="002533ED" w:rsidRPr="004C32D4">
        <w:t>ing</w:t>
      </w:r>
      <w:r w:rsidRPr="004C32D4">
        <w:t xml:space="preserve"> an enterprise agreement.</w:t>
      </w:r>
    </w:p>
    <w:p w14:paraId="57BF5676" w14:textId="320C947C" w:rsidR="00184309" w:rsidRPr="004C32D4" w:rsidRDefault="00184309" w:rsidP="00184309">
      <w:pPr>
        <w:pStyle w:val="ListParagraph"/>
        <w:numPr>
          <w:ilvl w:val="0"/>
          <w:numId w:val="29"/>
        </w:numPr>
        <w:spacing w:before="120" w:after="120"/>
      </w:pPr>
      <w:r w:rsidRPr="004C32D4">
        <w:t>A video that explains where pay rates and entitlements come from, how they interact, and the role of the two Fair Work agencies.</w:t>
      </w:r>
    </w:p>
    <w:p w14:paraId="0139578C" w14:textId="2D0619FA" w:rsidR="00184309" w:rsidRPr="004C32D4" w:rsidRDefault="00184309" w:rsidP="00184309">
      <w:pPr>
        <w:pStyle w:val="ListParagraph"/>
        <w:numPr>
          <w:ilvl w:val="0"/>
          <w:numId w:val="29"/>
        </w:numPr>
        <w:spacing w:before="120" w:after="120"/>
      </w:pPr>
      <w:r w:rsidRPr="004C32D4">
        <w:t>A video that explains what an enterprise agreement is and how they are made.</w:t>
      </w:r>
    </w:p>
    <w:p w14:paraId="140E418A" w14:textId="5AD32E50" w:rsidR="00184309" w:rsidRPr="004C32D4" w:rsidRDefault="00184309" w:rsidP="00184309">
      <w:pPr>
        <w:pStyle w:val="ListParagraph"/>
        <w:numPr>
          <w:ilvl w:val="0"/>
          <w:numId w:val="29"/>
        </w:numPr>
        <w:spacing w:before="120" w:after="120"/>
      </w:pPr>
      <w:r w:rsidRPr="004C32D4">
        <w:t>A video that explains the 3 key stages in a good bargaining process, and requirements for bargaining in the Fair Work system.</w:t>
      </w:r>
    </w:p>
    <w:p w14:paraId="382BAE57" w14:textId="131BD5D2" w:rsidR="00184309" w:rsidRPr="004C32D4" w:rsidRDefault="00184309" w:rsidP="00184309">
      <w:pPr>
        <w:pStyle w:val="ListParagraph"/>
        <w:numPr>
          <w:ilvl w:val="0"/>
          <w:numId w:val="29"/>
        </w:numPr>
        <w:spacing w:before="120" w:after="120"/>
      </w:pPr>
      <w:r w:rsidRPr="004C32D4">
        <w:t>An online learning portal that offers a growing catalogue of online learning modules about key workplace topics.</w:t>
      </w:r>
    </w:p>
    <w:p w14:paraId="1E929A8E" w14:textId="690FD21B" w:rsidR="00184309" w:rsidRPr="004C32D4" w:rsidRDefault="00184309" w:rsidP="00184309">
      <w:pPr>
        <w:pStyle w:val="ListParagraph"/>
        <w:numPr>
          <w:ilvl w:val="0"/>
          <w:numId w:val="29"/>
        </w:numPr>
        <w:spacing w:before="120" w:after="120"/>
      </w:pPr>
      <w:r w:rsidRPr="004C32D4">
        <w:t>Information on how to contact the FWC.</w:t>
      </w:r>
    </w:p>
    <w:p w14:paraId="38702B2F" w14:textId="2DE68785" w:rsidR="00C23E7F" w:rsidRPr="004C32D4" w:rsidRDefault="00C23E7F" w:rsidP="00C23E7F">
      <w:pPr>
        <w:pStyle w:val="Heading3"/>
      </w:pPr>
      <w:r w:rsidRPr="004C32D4">
        <w:t>Employe</w:t>
      </w:r>
      <w:r w:rsidR="002533ED" w:rsidRPr="004C32D4">
        <w:t>e</w:t>
      </w:r>
      <w:r w:rsidRPr="004C32D4">
        <w:t xml:space="preserve"> organisation</w:t>
      </w:r>
    </w:p>
    <w:p w14:paraId="423588EF" w14:textId="7FE9D5ED" w:rsidR="00C23E7F" w:rsidRDefault="00C23E7F" w:rsidP="00C23E7F">
      <w:r w:rsidRPr="004C32D4">
        <w:t>If you are a member of an employe</w:t>
      </w:r>
      <w:r w:rsidR="002533ED" w:rsidRPr="004C32D4">
        <w:t>e</w:t>
      </w:r>
      <w:r w:rsidRPr="004C32D4">
        <w:t xml:space="preserve"> organisation </w:t>
      </w:r>
      <w:r w:rsidR="002533ED" w:rsidRPr="004C32D4">
        <w:t xml:space="preserve">(for example, a union), </w:t>
      </w:r>
      <w:r w:rsidRPr="004C32D4">
        <w:t>you can also seek their advice</w:t>
      </w:r>
      <w:r w:rsidR="00184309" w:rsidRPr="004C32D4">
        <w:t>.</w:t>
      </w:r>
    </w:p>
    <w:sectPr w:rsidR="00C23E7F" w:rsidSect="00C23E7F">
      <w:footerReference w:type="default" r:id="rId25"/>
      <w:footerReference w:type="first" r:id="rId2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CBC21" w14:textId="77777777" w:rsidR="0082277A" w:rsidRDefault="0082277A" w:rsidP="000A6228">
      <w:pPr>
        <w:spacing w:after="0"/>
      </w:pPr>
      <w:r>
        <w:separator/>
      </w:r>
    </w:p>
  </w:endnote>
  <w:endnote w:type="continuationSeparator" w:id="0">
    <w:p w14:paraId="750712D9" w14:textId="77777777" w:rsidR="0082277A" w:rsidRDefault="0082277A" w:rsidP="000A62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E2C7A" w14:textId="77777777" w:rsidR="00184309" w:rsidRDefault="00184309" w:rsidP="00184309">
    <w:pPr>
      <w:pStyle w:val="Footer"/>
      <w:rPr>
        <w:sz w:val="18"/>
        <w:szCs w:val="18"/>
      </w:rPr>
    </w:pPr>
  </w:p>
  <w:p w14:paraId="25A35025" w14:textId="5024F1C1" w:rsidR="00D86284" w:rsidRPr="00184309" w:rsidRDefault="00181B05" w:rsidP="00184309">
    <w:pPr>
      <w:pStyle w:val="Footer"/>
      <w:rPr>
        <w:sz w:val="18"/>
        <w:szCs w:val="18"/>
      </w:rPr>
    </w:pPr>
    <w:r w:rsidRPr="00181B05">
      <w:rPr>
        <w:b/>
        <w:bCs/>
        <w:sz w:val="18"/>
        <w:szCs w:val="18"/>
      </w:rPr>
      <w:t>Workforce Retention Payment</w:t>
    </w:r>
    <w:r>
      <w:rPr>
        <w:sz w:val="18"/>
        <w:szCs w:val="18"/>
      </w:rPr>
      <w:t xml:space="preserve"> | </w:t>
    </w:r>
    <w:r w:rsidR="00184309" w:rsidRPr="00C23E7F">
      <w:rPr>
        <w:sz w:val="18"/>
        <w:szCs w:val="18"/>
      </w:rPr>
      <w:t xml:space="preserve">Information for early </w:t>
    </w:r>
    <w:r>
      <w:rPr>
        <w:sz w:val="18"/>
        <w:szCs w:val="18"/>
      </w:rPr>
      <w:t>ECEC employees about workplace instruments</w:t>
    </w:r>
    <w:r w:rsidR="00184309" w:rsidRPr="00C23E7F">
      <w:rPr>
        <w:sz w:val="18"/>
        <w:szCs w:val="18"/>
      </w:rPr>
      <w:t xml:space="preserve"> | Page </w:t>
    </w:r>
    <w:r w:rsidR="00184309" w:rsidRPr="00C23E7F">
      <w:rPr>
        <w:b/>
        <w:bCs/>
        <w:sz w:val="18"/>
        <w:szCs w:val="18"/>
      </w:rPr>
      <w:fldChar w:fldCharType="begin"/>
    </w:r>
    <w:r w:rsidR="00184309" w:rsidRPr="00C23E7F">
      <w:rPr>
        <w:b/>
        <w:bCs/>
        <w:sz w:val="18"/>
        <w:szCs w:val="18"/>
      </w:rPr>
      <w:instrText xml:space="preserve"> PAGE  \* Arabic  \* MERGEFORMAT </w:instrText>
    </w:r>
    <w:r w:rsidR="00184309" w:rsidRPr="00C23E7F">
      <w:rPr>
        <w:b/>
        <w:bCs/>
        <w:sz w:val="18"/>
        <w:szCs w:val="18"/>
      </w:rPr>
      <w:fldChar w:fldCharType="separate"/>
    </w:r>
    <w:r w:rsidR="00184309">
      <w:rPr>
        <w:b/>
        <w:bCs/>
        <w:sz w:val="18"/>
        <w:szCs w:val="18"/>
      </w:rPr>
      <w:t>1</w:t>
    </w:r>
    <w:r w:rsidR="00184309" w:rsidRPr="00C23E7F">
      <w:rPr>
        <w:b/>
        <w:bCs/>
        <w:sz w:val="18"/>
        <w:szCs w:val="18"/>
      </w:rPr>
      <w:fldChar w:fldCharType="end"/>
    </w:r>
    <w:r w:rsidR="00184309" w:rsidRPr="00C23E7F">
      <w:rPr>
        <w:sz w:val="18"/>
        <w:szCs w:val="18"/>
      </w:rPr>
      <w:t xml:space="preserve"> of </w:t>
    </w:r>
    <w:r w:rsidR="00184309" w:rsidRPr="00C23E7F">
      <w:rPr>
        <w:b/>
        <w:bCs/>
        <w:sz w:val="18"/>
        <w:szCs w:val="18"/>
      </w:rPr>
      <w:fldChar w:fldCharType="begin"/>
    </w:r>
    <w:r w:rsidR="00184309" w:rsidRPr="00C23E7F">
      <w:rPr>
        <w:b/>
        <w:bCs/>
        <w:sz w:val="18"/>
        <w:szCs w:val="18"/>
      </w:rPr>
      <w:instrText xml:space="preserve"> NUMPAGES  \* Arabic  \* MERGEFORMAT </w:instrText>
    </w:r>
    <w:r w:rsidR="00184309" w:rsidRPr="00C23E7F">
      <w:rPr>
        <w:b/>
        <w:bCs/>
        <w:sz w:val="18"/>
        <w:szCs w:val="18"/>
      </w:rPr>
      <w:fldChar w:fldCharType="separate"/>
    </w:r>
    <w:r w:rsidR="00184309">
      <w:rPr>
        <w:b/>
        <w:bCs/>
        <w:sz w:val="18"/>
        <w:szCs w:val="18"/>
      </w:rPr>
      <w:t>4</w:t>
    </w:r>
    <w:r w:rsidR="00184309" w:rsidRPr="00C23E7F">
      <w:rPr>
        <w:b/>
        <w:bCs/>
        <w:sz w:val="18"/>
        <w:szCs w:val="18"/>
      </w:rPr>
      <w:fldChar w:fldCharType="end"/>
    </w:r>
    <w:r w:rsidR="00D86284">
      <w:rPr>
        <w:noProof/>
      </w:rPr>
      <w:drawing>
        <wp:anchor distT="0" distB="0" distL="114300" distR="114300" simplePos="0" relativeHeight="251658240" behindDoc="1" locked="1" layoutInCell="1" allowOverlap="1" wp14:anchorId="520C8946" wp14:editId="45FB2A8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33537" w14:textId="77777777" w:rsidR="00C23E7F" w:rsidRDefault="00C23E7F">
    <w:pPr>
      <w:pStyle w:val="Footer"/>
      <w:rPr>
        <w:sz w:val="18"/>
        <w:szCs w:val="18"/>
      </w:rPr>
    </w:pPr>
  </w:p>
  <w:p w14:paraId="65118AD2" w14:textId="2114257E" w:rsidR="00C23E7F" w:rsidRPr="00C23E7F" w:rsidRDefault="00181B05" w:rsidP="00181B05">
    <w:pPr>
      <w:pStyle w:val="Footer"/>
      <w:rPr>
        <w:sz w:val="18"/>
        <w:szCs w:val="18"/>
      </w:rPr>
    </w:pPr>
    <w:r w:rsidRPr="00181B05">
      <w:rPr>
        <w:b/>
        <w:bCs/>
        <w:sz w:val="18"/>
        <w:szCs w:val="18"/>
      </w:rPr>
      <w:t>Workforce Retention Payment</w:t>
    </w:r>
    <w:r>
      <w:rPr>
        <w:sz w:val="18"/>
        <w:szCs w:val="18"/>
      </w:rPr>
      <w:t xml:space="preserve"> | </w:t>
    </w:r>
    <w:r w:rsidRPr="00C23E7F">
      <w:rPr>
        <w:sz w:val="18"/>
        <w:szCs w:val="18"/>
      </w:rPr>
      <w:t xml:space="preserve">Information for early </w:t>
    </w:r>
    <w:r>
      <w:rPr>
        <w:sz w:val="18"/>
        <w:szCs w:val="18"/>
      </w:rPr>
      <w:t>ECEC employees about workplace instruments</w:t>
    </w:r>
    <w:r w:rsidRPr="00C23E7F">
      <w:rPr>
        <w:sz w:val="18"/>
        <w:szCs w:val="18"/>
      </w:rPr>
      <w:t xml:space="preserve"> | Page </w:t>
    </w:r>
    <w:r w:rsidRPr="00C23E7F">
      <w:rPr>
        <w:b/>
        <w:bCs/>
        <w:sz w:val="18"/>
        <w:szCs w:val="18"/>
      </w:rPr>
      <w:fldChar w:fldCharType="begin"/>
    </w:r>
    <w:r w:rsidRPr="00C23E7F">
      <w:rPr>
        <w:b/>
        <w:bCs/>
        <w:sz w:val="18"/>
        <w:szCs w:val="18"/>
      </w:rPr>
      <w:instrText xml:space="preserve"> PAGE  \* Arabic  \* MERGEFORMAT </w:instrText>
    </w:r>
    <w:r w:rsidRPr="00C23E7F">
      <w:rPr>
        <w:b/>
        <w:bCs/>
        <w:sz w:val="18"/>
        <w:szCs w:val="18"/>
      </w:rPr>
      <w:fldChar w:fldCharType="separate"/>
    </w:r>
    <w:r>
      <w:rPr>
        <w:b/>
        <w:bCs/>
        <w:sz w:val="18"/>
        <w:szCs w:val="18"/>
      </w:rPr>
      <w:t>2</w:t>
    </w:r>
    <w:r w:rsidRPr="00C23E7F">
      <w:rPr>
        <w:b/>
        <w:bCs/>
        <w:sz w:val="18"/>
        <w:szCs w:val="18"/>
      </w:rPr>
      <w:fldChar w:fldCharType="end"/>
    </w:r>
    <w:r w:rsidRPr="00C23E7F">
      <w:rPr>
        <w:sz w:val="18"/>
        <w:szCs w:val="18"/>
      </w:rPr>
      <w:t xml:space="preserve"> of </w:t>
    </w:r>
    <w:r w:rsidRPr="00C23E7F">
      <w:rPr>
        <w:b/>
        <w:bCs/>
        <w:sz w:val="18"/>
        <w:szCs w:val="18"/>
      </w:rPr>
      <w:fldChar w:fldCharType="begin"/>
    </w:r>
    <w:r w:rsidRPr="00C23E7F">
      <w:rPr>
        <w:b/>
        <w:bCs/>
        <w:sz w:val="18"/>
        <w:szCs w:val="18"/>
      </w:rPr>
      <w:instrText xml:space="preserve"> NUMPAGES  \* Arabic  \* MERGEFORMAT </w:instrText>
    </w:r>
    <w:r w:rsidRPr="00C23E7F">
      <w:rPr>
        <w:b/>
        <w:bCs/>
        <w:sz w:val="18"/>
        <w:szCs w:val="18"/>
      </w:rPr>
      <w:fldChar w:fldCharType="separate"/>
    </w:r>
    <w:r>
      <w:rPr>
        <w:b/>
        <w:bCs/>
        <w:sz w:val="18"/>
        <w:szCs w:val="18"/>
      </w:rPr>
      <w:t>4</w:t>
    </w:r>
    <w:r w:rsidRPr="00C23E7F">
      <w:rPr>
        <w:b/>
        <w:bCs/>
        <w:sz w:val="18"/>
        <w:szCs w:val="18"/>
      </w:rPr>
      <w:fldChar w:fldCharType="end"/>
    </w:r>
    <w:r>
      <w:rPr>
        <w:noProof/>
      </w:rPr>
      <w:drawing>
        <wp:anchor distT="0" distB="0" distL="114300" distR="114300" simplePos="0" relativeHeight="251660288" behindDoc="1" locked="1" layoutInCell="1" allowOverlap="1" wp14:anchorId="5A5A4B79" wp14:editId="550E5758">
          <wp:simplePos x="5425440" y="9593580"/>
          <wp:positionH relativeFrom="page">
            <wp:align>right</wp:align>
          </wp:positionH>
          <wp:positionV relativeFrom="page">
            <wp:align>bottom</wp:align>
          </wp:positionV>
          <wp:extent cx="1213485" cy="647700"/>
          <wp:effectExtent l="0" t="0" r="5715" b="0"/>
          <wp:wrapNone/>
          <wp:docPr id="689734258" name="Picture 6897342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FE3F7" w14:textId="77777777" w:rsidR="0082277A" w:rsidRDefault="0082277A" w:rsidP="000A6228">
      <w:pPr>
        <w:spacing w:after="0"/>
      </w:pPr>
      <w:r>
        <w:separator/>
      </w:r>
    </w:p>
  </w:footnote>
  <w:footnote w:type="continuationSeparator" w:id="0">
    <w:p w14:paraId="630EEF27" w14:textId="77777777" w:rsidR="0082277A" w:rsidRDefault="0082277A" w:rsidP="000A62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563CA6"/>
    <w:multiLevelType w:val="hybridMultilevel"/>
    <w:tmpl w:val="F754E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86B33"/>
    <w:multiLevelType w:val="hybridMultilevel"/>
    <w:tmpl w:val="97AE7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CB5F03"/>
    <w:multiLevelType w:val="hybridMultilevel"/>
    <w:tmpl w:val="87A08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D3666F9"/>
    <w:multiLevelType w:val="hybridMultilevel"/>
    <w:tmpl w:val="75F0F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3F1736"/>
    <w:multiLevelType w:val="hybridMultilevel"/>
    <w:tmpl w:val="40626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44673B"/>
    <w:multiLevelType w:val="hybridMultilevel"/>
    <w:tmpl w:val="44FE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C51D65"/>
    <w:multiLevelType w:val="hybridMultilevel"/>
    <w:tmpl w:val="D1A42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8568D9"/>
    <w:multiLevelType w:val="hybridMultilevel"/>
    <w:tmpl w:val="497ED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94780B"/>
    <w:multiLevelType w:val="hybridMultilevel"/>
    <w:tmpl w:val="41D60B1C"/>
    <w:lvl w:ilvl="0" w:tplc="D79E8762">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8748C9"/>
    <w:multiLevelType w:val="hybridMultilevel"/>
    <w:tmpl w:val="3B381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4764D34"/>
    <w:multiLevelType w:val="hybridMultilevel"/>
    <w:tmpl w:val="18585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9F26D9"/>
    <w:multiLevelType w:val="hybridMultilevel"/>
    <w:tmpl w:val="0B225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9382C4C"/>
    <w:multiLevelType w:val="hybridMultilevel"/>
    <w:tmpl w:val="55D08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20"/>
  </w:num>
  <w:num w:numId="6" w16cid:durableId="120733662">
    <w:abstractNumId w:val="2"/>
  </w:num>
  <w:num w:numId="7" w16cid:durableId="2022584168">
    <w:abstractNumId w:val="1"/>
  </w:num>
  <w:num w:numId="8" w16cid:durableId="534267804">
    <w:abstractNumId w:val="0"/>
  </w:num>
  <w:num w:numId="9" w16cid:durableId="1265042610">
    <w:abstractNumId w:val="19"/>
  </w:num>
  <w:num w:numId="10" w16cid:durableId="1943879001">
    <w:abstractNumId w:val="7"/>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21"/>
  </w:num>
  <w:num w:numId="18" w16cid:durableId="618417265">
    <w:abstractNumId w:val="9"/>
  </w:num>
  <w:num w:numId="19" w16cid:durableId="271010807">
    <w:abstractNumId w:val="25"/>
  </w:num>
  <w:num w:numId="20" w16cid:durableId="943000146">
    <w:abstractNumId w:val="17"/>
  </w:num>
  <w:num w:numId="21" w16cid:durableId="566770129">
    <w:abstractNumId w:val="24"/>
  </w:num>
  <w:num w:numId="22" w16cid:durableId="227351813">
    <w:abstractNumId w:val="12"/>
  </w:num>
  <w:num w:numId="23" w16cid:durableId="1357275154">
    <w:abstractNumId w:val="26"/>
  </w:num>
  <w:num w:numId="24" w16cid:durableId="1925144375">
    <w:abstractNumId w:val="15"/>
  </w:num>
  <w:num w:numId="25" w16cid:durableId="1595943278">
    <w:abstractNumId w:val="18"/>
  </w:num>
  <w:num w:numId="26" w16cid:durableId="1310865710">
    <w:abstractNumId w:val="27"/>
  </w:num>
  <w:num w:numId="27" w16cid:durableId="955141128">
    <w:abstractNumId w:val="16"/>
  </w:num>
  <w:num w:numId="28" w16cid:durableId="970524799">
    <w:abstractNumId w:val="11"/>
  </w:num>
  <w:num w:numId="29" w16cid:durableId="1663240462">
    <w:abstractNumId w:val="8"/>
  </w:num>
  <w:num w:numId="30" w16cid:durableId="490172384">
    <w:abstractNumId w:val="12"/>
  </w:num>
  <w:num w:numId="31" w16cid:durableId="1494685803">
    <w:abstractNumId w:val="30"/>
  </w:num>
  <w:num w:numId="32" w16cid:durableId="1914580493">
    <w:abstractNumId w:val="23"/>
  </w:num>
  <w:num w:numId="33" w16cid:durableId="17815619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2ADF"/>
    <w:rsid w:val="00021FBE"/>
    <w:rsid w:val="00044CA1"/>
    <w:rsid w:val="000521D7"/>
    <w:rsid w:val="000A0B58"/>
    <w:rsid w:val="000A6228"/>
    <w:rsid w:val="000B5D40"/>
    <w:rsid w:val="000B7EC6"/>
    <w:rsid w:val="00107D87"/>
    <w:rsid w:val="00107DD5"/>
    <w:rsid w:val="0012343A"/>
    <w:rsid w:val="00133B8D"/>
    <w:rsid w:val="0013611E"/>
    <w:rsid w:val="001515BF"/>
    <w:rsid w:val="0017134D"/>
    <w:rsid w:val="001804CB"/>
    <w:rsid w:val="00181B05"/>
    <w:rsid w:val="00184309"/>
    <w:rsid w:val="001C1523"/>
    <w:rsid w:val="00207893"/>
    <w:rsid w:val="00221D8F"/>
    <w:rsid w:val="002272DB"/>
    <w:rsid w:val="00235752"/>
    <w:rsid w:val="002533ED"/>
    <w:rsid w:val="002618A3"/>
    <w:rsid w:val="00276047"/>
    <w:rsid w:val="00280BAC"/>
    <w:rsid w:val="002A4458"/>
    <w:rsid w:val="002D589A"/>
    <w:rsid w:val="002E491A"/>
    <w:rsid w:val="003A520B"/>
    <w:rsid w:val="0040155D"/>
    <w:rsid w:val="0041713E"/>
    <w:rsid w:val="00421D3F"/>
    <w:rsid w:val="00423785"/>
    <w:rsid w:val="00452D26"/>
    <w:rsid w:val="004A06CD"/>
    <w:rsid w:val="004A24A4"/>
    <w:rsid w:val="004A4B6F"/>
    <w:rsid w:val="004A4CF9"/>
    <w:rsid w:val="004C32D4"/>
    <w:rsid w:val="004C6D35"/>
    <w:rsid w:val="004D2965"/>
    <w:rsid w:val="004D2D9D"/>
    <w:rsid w:val="004D47D9"/>
    <w:rsid w:val="0056621F"/>
    <w:rsid w:val="00570A5F"/>
    <w:rsid w:val="00581398"/>
    <w:rsid w:val="00590132"/>
    <w:rsid w:val="00591F57"/>
    <w:rsid w:val="005A75C9"/>
    <w:rsid w:val="005B187D"/>
    <w:rsid w:val="005F35D6"/>
    <w:rsid w:val="006232DC"/>
    <w:rsid w:val="0063094F"/>
    <w:rsid w:val="0064083A"/>
    <w:rsid w:val="006B1929"/>
    <w:rsid w:val="006B57F2"/>
    <w:rsid w:val="006D67F3"/>
    <w:rsid w:val="006F1FFF"/>
    <w:rsid w:val="006F6D10"/>
    <w:rsid w:val="00712B94"/>
    <w:rsid w:val="007B2CA1"/>
    <w:rsid w:val="007B354C"/>
    <w:rsid w:val="007D0ABC"/>
    <w:rsid w:val="008042F5"/>
    <w:rsid w:val="0082277A"/>
    <w:rsid w:val="00862463"/>
    <w:rsid w:val="008632F3"/>
    <w:rsid w:val="008748AB"/>
    <w:rsid w:val="008853F6"/>
    <w:rsid w:val="00886959"/>
    <w:rsid w:val="00893A34"/>
    <w:rsid w:val="00897A2B"/>
    <w:rsid w:val="008A36E1"/>
    <w:rsid w:val="008A37A7"/>
    <w:rsid w:val="008A7AB4"/>
    <w:rsid w:val="008B0736"/>
    <w:rsid w:val="00934A27"/>
    <w:rsid w:val="00950B06"/>
    <w:rsid w:val="00970069"/>
    <w:rsid w:val="009721EB"/>
    <w:rsid w:val="00995D1D"/>
    <w:rsid w:val="009B706E"/>
    <w:rsid w:val="009C423A"/>
    <w:rsid w:val="009D737F"/>
    <w:rsid w:val="009E79ED"/>
    <w:rsid w:val="00A07596"/>
    <w:rsid w:val="00A17A08"/>
    <w:rsid w:val="00A46B9C"/>
    <w:rsid w:val="00A60673"/>
    <w:rsid w:val="00A92D42"/>
    <w:rsid w:val="00AB499A"/>
    <w:rsid w:val="00AC1872"/>
    <w:rsid w:val="00AC21EE"/>
    <w:rsid w:val="00AD631F"/>
    <w:rsid w:val="00AE21FF"/>
    <w:rsid w:val="00AF1F18"/>
    <w:rsid w:val="00B0726E"/>
    <w:rsid w:val="00B219D1"/>
    <w:rsid w:val="00B65183"/>
    <w:rsid w:val="00B72125"/>
    <w:rsid w:val="00B81FA4"/>
    <w:rsid w:val="00B8794C"/>
    <w:rsid w:val="00B95EF4"/>
    <w:rsid w:val="00BB6509"/>
    <w:rsid w:val="00BC248C"/>
    <w:rsid w:val="00BD092B"/>
    <w:rsid w:val="00C01EC0"/>
    <w:rsid w:val="00C05295"/>
    <w:rsid w:val="00C23E7F"/>
    <w:rsid w:val="00C244EE"/>
    <w:rsid w:val="00C72224"/>
    <w:rsid w:val="00C75706"/>
    <w:rsid w:val="00C82E28"/>
    <w:rsid w:val="00CA4815"/>
    <w:rsid w:val="00CB67E8"/>
    <w:rsid w:val="00CE6635"/>
    <w:rsid w:val="00CF6562"/>
    <w:rsid w:val="00D23ABC"/>
    <w:rsid w:val="00D5688A"/>
    <w:rsid w:val="00D86284"/>
    <w:rsid w:val="00DA1A13"/>
    <w:rsid w:val="00DC5980"/>
    <w:rsid w:val="00DD2B46"/>
    <w:rsid w:val="00E06ED6"/>
    <w:rsid w:val="00E529E5"/>
    <w:rsid w:val="00E55A06"/>
    <w:rsid w:val="00E83F6C"/>
    <w:rsid w:val="00EB4C2F"/>
    <w:rsid w:val="00ED0DDF"/>
    <w:rsid w:val="00F07456"/>
    <w:rsid w:val="00F1000D"/>
    <w:rsid w:val="00F311A4"/>
    <w:rsid w:val="00F412F2"/>
    <w:rsid w:val="00F82C2C"/>
    <w:rsid w:val="00F85913"/>
    <w:rsid w:val="00F901C6"/>
    <w:rsid w:val="00FC5329"/>
    <w:rsid w:val="00FD4D6E"/>
    <w:rsid w:val="00FD6383"/>
    <w:rsid w:val="00FE4AB8"/>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D3779"/>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D4"/>
    <w:pPr>
      <w:spacing w:line="240" w:lineRule="auto"/>
    </w:pPr>
    <w:rPr>
      <w:rFonts w:ascii="Aptos" w:hAnsi="Aptos"/>
    </w:r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C23E7F"/>
    <w:pPr>
      <w:keepNext/>
      <w:keepLines/>
      <w:spacing w:before="48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C23E7F"/>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C23E7F"/>
    <w:pPr>
      <w:ind w:left="720"/>
      <w:contextualSpacing/>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basedOn w:val="DefaultParagraphFont"/>
    <w:link w:val="ListParagraph"/>
    <w:uiPriority w:val="34"/>
    <w:qFormat/>
    <w:locked/>
    <w:rsid w:val="00C23E7F"/>
    <w:rPr>
      <w:rFonts w:ascii="Aptos" w:hAnsi="Aptos"/>
    </w:rPr>
  </w:style>
  <w:style w:type="character" w:styleId="CommentReference">
    <w:name w:val="annotation reference"/>
    <w:basedOn w:val="DefaultParagraphFont"/>
    <w:uiPriority w:val="99"/>
    <w:unhideWhenUsed/>
    <w:rsid w:val="00C23E7F"/>
    <w:rPr>
      <w:sz w:val="16"/>
      <w:szCs w:val="16"/>
    </w:rPr>
  </w:style>
  <w:style w:type="paragraph" w:styleId="CommentText">
    <w:name w:val="annotation text"/>
    <w:basedOn w:val="Normal"/>
    <w:link w:val="CommentTextChar"/>
    <w:uiPriority w:val="99"/>
    <w:unhideWhenUsed/>
    <w:rsid w:val="00C23E7F"/>
    <w:rPr>
      <w:sz w:val="20"/>
      <w:szCs w:val="20"/>
    </w:rPr>
  </w:style>
  <w:style w:type="character" w:customStyle="1" w:styleId="CommentTextChar">
    <w:name w:val="Comment Text Char"/>
    <w:basedOn w:val="DefaultParagraphFont"/>
    <w:link w:val="CommentText"/>
    <w:uiPriority w:val="99"/>
    <w:rsid w:val="00C23E7F"/>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6B1929"/>
    <w:rPr>
      <w:b/>
      <w:bCs/>
    </w:rPr>
  </w:style>
  <w:style w:type="character" w:customStyle="1" w:styleId="CommentSubjectChar">
    <w:name w:val="Comment Subject Char"/>
    <w:basedOn w:val="CommentTextChar"/>
    <w:link w:val="CommentSubject"/>
    <w:uiPriority w:val="99"/>
    <w:semiHidden/>
    <w:rsid w:val="006B1929"/>
    <w:rPr>
      <w:rFonts w:ascii="Aptos" w:hAnsi="Aptos"/>
      <w:b/>
      <w:bCs/>
      <w:sz w:val="20"/>
      <w:szCs w:val="20"/>
    </w:rPr>
  </w:style>
  <w:style w:type="paragraph" w:styleId="Revision">
    <w:name w:val="Revision"/>
    <w:hidden/>
    <w:uiPriority w:val="99"/>
    <w:semiHidden/>
    <w:rsid w:val="002533ED"/>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979629">
      <w:bodyDiv w:val="1"/>
      <w:marLeft w:val="0"/>
      <w:marRight w:val="0"/>
      <w:marTop w:val="0"/>
      <w:marBottom w:val="0"/>
      <w:divBdr>
        <w:top w:val="none" w:sz="0" w:space="0" w:color="auto"/>
        <w:left w:val="none" w:sz="0" w:space="0" w:color="auto"/>
        <w:bottom w:val="none" w:sz="0" w:space="0" w:color="auto"/>
        <w:right w:val="none" w:sz="0" w:space="0" w:color="auto"/>
      </w:divBdr>
    </w:div>
    <w:div w:id="1804419292">
      <w:bodyDiv w:val="1"/>
      <w:marLeft w:val="0"/>
      <w:marRight w:val="0"/>
      <w:marTop w:val="0"/>
      <w:marBottom w:val="0"/>
      <w:divBdr>
        <w:top w:val="none" w:sz="0" w:space="0" w:color="auto"/>
        <w:left w:val="none" w:sz="0" w:space="0" w:color="auto"/>
        <w:bottom w:val="none" w:sz="0" w:space="0" w:color="auto"/>
        <w:right w:val="none" w:sz="0" w:space="0" w:color="auto"/>
      </w:divBdr>
    </w:div>
    <w:div w:id="1996764708">
      <w:bodyDiv w:val="1"/>
      <w:marLeft w:val="0"/>
      <w:marRight w:val="0"/>
      <w:marTop w:val="0"/>
      <w:marBottom w:val="0"/>
      <w:divBdr>
        <w:top w:val="none" w:sz="0" w:space="0" w:color="auto"/>
        <w:left w:val="none" w:sz="0" w:space="0" w:color="auto"/>
        <w:bottom w:val="none" w:sz="0" w:space="0" w:color="auto"/>
        <w:right w:val="none" w:sz="0" w:space="0" w:color="auto"/>
      </w:divBdr>
    </w:div>
    <w:div w:id="21382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ucation.gov.au/early-childhood/workforce/wages" TargetMode="External"/><Relationship Id="rId18" Type="http://schemas.openxmlformats.org/officeDocument/2006/relationships/hyperlink" Target="https://www.dewr.gov.au/secure-jobs-better-pa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wc.gov.au/hearings-decisions/major-cases/gender-undervaluation-priority-awards-review" TargetMode="Externa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yperlink" Target="https://www.fairwork.gov.au/employment-conditions/agreement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wc.gov.au/about-us/secure-jobs-better-pay-act-whats-changing/bargaining-support-6-june-2023/new-cwa" TargetMode="External"/><Relationship Id="rId20" Type="http://schemas.openxmlformats.org/officeDocument/2006/relationships/hyperlink" Target="https://www.fairwork.gov.au/about-us/workplace-laws/annual-wage-re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fwc.gov.au/" TargetMode="External"/><Relationship Id="rId5" Type="http://schemas.openxmlformats.org/officeDocument/2006/relationships/webSettings" Target="webSettings.xml"/><Relationship Id="rId15" Type="http://schemas.openxmlformats.org/officeDocument/2006/relationships/hyperlink" Target="https://www.fwc.gov.au/about-us/secure-jobs-better-pay-act-whats-changing/bargaining-support-6-june-2023/new-single" TargetMode="External"/><Relationship Id="rId23" Type="http://schemas.openxmlformats.org/officeDocument/2006/relationships/hyperlink" Target="https://www.fairwork.gov.au/" TargetMode="External"/><Relationship Id="rId28" Type="http://schemas.openxmlformats.org/officeDocument/2006/relationships/glossaryDocument" Target="glossary/document.xml"/><Relationship Id="rId10" Type="http://schemas.openxmlformats.org/officeDocument/2006/relationships/image" Target="media/image3.svg"/><Relationship Id="rId19" Type="http://schemas.openxmlformats.org/officeDocument/2006/relationships/hyperlink" Target="https://www.fairwork.gov.au/employment-conditions/flexibility-in-the-workplace/individual-flexibility-arrangem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wc.gov.au/about-us/secure-jobs-better-pay-act-whats-changing/bargaining-support-6-june-2023/new-supported" TargetMode="External"/><Relationship Id="rId22" Type="http://schemas.openxmlformats.org/officeDocument/2006/relationships/hyperlink" Target="https://www.fairwork.gov.au/employment-conditions/award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72B85"/>
    <w:rsid w:val="002B3ACA"/>
    <w:rsid w:val="00404E6D"/>
    <w:rsid w:val="00444AED"/>
    <w:rsid w:val="004E475E"/>
    <w:rsid w:val="00590132"/>
    <w:rsid w:val="00785B1E"/>
    <w:rsid w:val="00837A34"/>
    <w:rsid w:val="00C82E28"/>
    <w:rsid w:val="00CB67E8"/>
    <w:rsid w:val="00E03A2B"/>
    <w:rsid w:val="00E97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1070</Words>
  <Characters>6298</Characters>
  <Application>Microsoft Office Word</Application>
  <DocSecurity>0</DocSecurity>
  <Lines>131</Lines>
  <Paragraphs>81</Paragraphs>
  <ScaleCrop>false</ScaleCrop>
  <HeadingPairs>
    <vt:vector size="2" baseType="variant">
      <vt:variant>
        <vt:lpstr>Title</vt:lpstr>
      </vt:variant>
      <vt:variant>
        <vt:i4>1</vt:i4>
      </vt:variant>
    </vt:vector>
  </HeadingPairs>
  <TitlesOfParts>
    <vt:vector size="1" baseType="lpstr">
      <vt:lpstr>Workplace instruments, awards and bargaining</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instruments, awards and bargaining</dc:title>
  <dc:subject/>
  <dc:creator>BALL,Miranda</dc:creator>
  <cp:keywords/>
  <dc:description/>
  <cp:lastModifiedBy>BALL,Miranda</cp:lastModifiedBy>
  <cp:revision>6</cp:revision>
  <dcterms:created xsi:type="dcterms:W3CDTF">2024-11-26T00:31:00Z</dcterms:created>
  <dcterms:modified xsi:type="dcterms:W3CDTF">2024-11-26T23:55:00Z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ies>
</file>