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A21D" w14:textId="68EC823C" w:rsidR="00287098" w:rsidRPr="00560308" w:rsidRDefault="00287098" w:rsidP="00560308">
      <w:pPr>
        <w:jc w:val="center"/>
      </w:pPr>
      <w:r w:rsidRPr="00560308">
        <w:rPr>
          <w:b/>
        </w:rPr>
        <w:t>Renting Basics: Your Rights, Responsibilities, and Resources</w:t>
      </w:r>
    </w:p>
    <w:p w14:paraId="0AC9FB25" w14:textId="77777777" w:rsidR="00287098" w:rsidRPr="00560308" w:rsidRDefault="00287098" w:rsidP="00560308">
      <w:pPr>
        <w:jc w:val="center"/>
      </w:pPr>
      <w:r w:rsidRPr="00560308">
        <w:rPr>
          <w:i/>
        </w:rPr>
        <w:t>A customer-friendly guide based on common HUD rental topics</w:t>
      </w:r>
    </w:p>
    <w:p w14:paraId="01F80167" w14:textId="77777777" w:rsidR="00287098" w:rsidRPr="00560308" w:rsidRDefault="00287098" w:rsidP="00560308">
      <w:pPr>
        <w:jc w:val="both"/>
      </w:pPr>
    </w:p>
    <w:p w14:paraId="225A6AD8" w14:textId="77777777" w:rsidR="00287098" w:rsidRPr="00560308" w:rsidRDefault="00287098" w:rsidP="00560308">
      <w:pPr>
        <w:jc w:val="both"/>
      </w:pPr>
      <w:r w:rsidRPr="00560308">
        <w:rPr>
          <w:b/>
        </w:rPr>
        <w:t xml:space="preserve">Important: </w:t>
      </w:r>
      <w:r w:rsidRPr="00560308">
        <w:t>This handout provides general information. Tenant and landlord rules vary by state and city, and different rental assistance programs have additional requirements. For legal advice, contact a qualified attorney or legal aid organization.</w:t>
      </w:r>
    </w:p>
    <w:p w14:paraId="7C5217B0" w14:textId="77777777" w:rsidR="00287098" w:rsidRPr="00560308" w:rsidRDefault="00287098" w:rsidP="00560308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560308">
        <w:rPr>
          <w:rFonts w:ascii="Arial" w:hAnsi="Arial" w:cs="Arial"/>
          <w:sz w:val="22"/>
          <w:szCs w:val="22"/>
        </w:rPr>
        <w:t>1) Your rights as a renter</w:t>
      </w:r>
    </w:p>
    <w:p w14:paraId="7463A5EF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A safe, decent, and sanitary home (including working utilities and basic habitability).</w:t>
      </w:r>
    </w:p>
    <w:p w14:paraId="2DE1C16E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Fair housing protections: it is illegal to discriminate in housing based on protected characteristics (for example, race, color, religion, sex, national origin, disability, or familial status).</w:t>
      </w:r>
    </w:p>
    <w:p w14:paraId="48C65953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 xml:space="preserve">Reasonable </w:t>
      </w:r>
      <w:proofErr w:type="gramStart"/>
      <w:r w:rsidRPr="00560308">
        <w:rPr>
          <w:rFonts w:ascii="Arial" w:hAnsi="Arial" w:cs="Arial"/>
        </w:rPr>
        <w:t>accommodations</w:t>
      </w:r>
      <w:proofErr w:type="gramEnd"/>
      <w:r w:rsidRPr="00560308">
        <w:rPr>
          <w:rFonts w:ascii="Arial" w:hAnsi="Arial" w:cs="Arial"/>
        </w:rPr>
        <w:t xml:space="preserve"> for </w:t>
      </w:r>
      <w:proofErr w:type="gramStart"/>
      <w:r w:rsidRPr="00560308">
        <w:rPr>
          <w:rFonts w:ascii="Arial" w:hAnsi="Arial" w:cs="Arial"/>
        </w:rPr>
        <w:t>a disability</w:t>
      </w:r>
      <w:proofErr w:type="gramEnd"/>
      <w:r w:rsidRPr="00560308">
        <w:rPr>
          <w:rFonts w:ascii="Arial" w:hAnsi="Arial" w:cs="Arial"/>
        </w:rPr>
        <w:t xml:space="preserve"> (changes to rules or policies), and reasonable modifications (certain physical changes) when needed for accessibility. </w:t>
      </w:r>
      <w:proofErr w:type="gramStart"/>
      <w:r w:rsidRPr="00560308">
        <w:rPr>
          <w:rFonts w:ascii="Arial" w:hAnsi="Arial" w:cs="Arial"/>
        </w:rPr>
        <w:t>Who</w:t>
      </w:r>
      <w:proofErr w:type="gramEnd"/>
      <w:r w:rsidRPr="00560308">
        <w:rPr>
          <w:rFonts w:ascii="Arial" w:hAnsi="Arial" w:cs="Arial"/>
        </w:rPr>
        <w:t xml:space="preserve"> pays for modifications can depend on the housing program and local law.</w:t>
      </w:r>
    </w:p>
    <w:p w14:paraId="7C5DA01D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 xml:space="preserve">Privacy and proper notice before a landlord </w:t>
      </w:r>
      <w:proofErr w:type="gramStart"/>
      <w:r w:rsidRPr="00560308">
        <w:rPr>
          <w:rFonts w:ascii="Arial" w:hAnsi="Arial" w:cs="Arial"/>
        </w:rPr>
        <w:t>enters</w:t>
      </w:r>
      <w:proofErr w:type="gramEnd"/>
      <w:r w:rsidRPr="00560308">
        <w:rPr>
          <w:rFonts w:ascii="Arial" w:hAnsi="Arial" w:cs="Arial"/>
        </w:rPr>
        <w:t xml:space="preserve"> your unit (exact notice rules depend on where you live and your lease).</w:t>
      </w:r>
    </w:p>
    <w:p w14:paraId="2ED46602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A written lease or clear rental terms, plus receipts or a clear record of what you pay.</w:t>
      </w:r>
    </w:p>
    <w:p w14:paraId="255A1CBE" w14:textId="77777777" w:rsidR="00287098" w:rsidRPr="00560308" w:rsidRDefault="00287098" w:rsidP="00560308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560308">
        <w:rPr>
          <w:rFonts w:ascii="Arial" w:hAnsi="Arial" w:cs="Arial"/>
          <w:sz w:val="22"/>
          <w:szCs w:val="22"/>
        </w:rPr>
        <w:t>2) Your responsibilities</w:t>
      </w:r>
    </w:p>
    <w:p w14:paraId="0D0D597A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Pay rent on time and follow the lease terms.</w:t>
      </w:r>
    </w:p>
    <w:p w14:paraId="542E567D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Keep the unit reasonably clean and report problems early (especially leaks, mold, pests, or broken heat/hot water).</w:t>
      </w:r>
    </w:p>
    <w:p w14:paraId="10B8E9F5" w14:textId="18B46EFB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 xml:space="preserve">Avoid damage beyond normal wear and </w:t>
      </w:r>
      <w:r w:rsidR="00560308" w:rsidRPr="00560308">
        <w:rPr>
          <w:rFonts w:ascii="Arial" w:hAnsi="Arial" w:cs="Arial"/>
        </w:rPr>
        <w:t>tear and</w:t>
      </w:r>
      <w:r w:rsidRPr="00560308">
        <w:rPr>
          <w:rFonts w:ascii="Arial" w:hAnsi="Arial" w:cs="Arial"/>
        </w:rPr>
        <w:t xml:space="preserve"> respect neighbors and property rules.</w:t>
      </w:r>
    </w:p>
    <w:p w14:paraId="20F408BD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In subsidized housing, report required changes (like household size or income) and complete required recertifications/inspections.</w:t>
      </w:r>
    </w:p>
    <w:p w14:paraId="4CFFFEFF" w14:textId="77777777" w:rsidR="00287098" w:rsidRPr="00560308" w:rsidRDefault="00287098" w:rsidP="00560308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560308">
        <w:rPr>
          <w:rFonts w:ascii="Arial" w:hAnsi="Arial" w:cs="Arial"/>
          <w:sz w:val="22"/>
          <w:szCs w:val="22"/>
        </w:rPr>
        <w:t>3) Communicating with your landlord</w:t>
      </w:r>
    </w:p>
    <w:p w14:paraId="13E6494B" w14:textId="77777777" w:rsidR="00287098" w:rsidRPr="00560308" w:rsidRDefault="00287098" w:rsidP="00560308">
      <w:pPr>
        <w:jc w:val="both"/>
      </w:pPr>
      <w:r w:rsidRPr="00560308">
        <w:t>Good documentation helps you resolve issues faster and protects you if a dispute comes up.</w:t>
      </w:r>
    </w:p>
    <w:p w14:paraId="04966EC2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Put important requests in writing (email, letter, or portal message). Keep copies.</w:t>
      </w:r>
    </w:p>
    <w:p w14:paraId="1A23B7E9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Be specific: what is wrong, when it started, and what you are asking the landlord to do.</w:t>
      </w:r>
    </w:p>
    <w:p w14:paraId="6753184B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Take photos/videos and keep a timeline (dates, who you spoke with, and what was said).</w:t>
      </w:r>
    </w:p>
    <w:p w14:paraId="79D7ED5A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If communication breaks down, consider mediation or housing counseling before the situation escalates.</w:t>
      </w:r>
    </w:p>
    <w:p w14:paraId="6BB99C6A" w14:textId="77777777" w:rsidR="00287098" w:rsidRPr="00560308" w:rsidRDefault="00287098" w:rsidP="00560308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560308">
        <w:rPr>
          <w:rFonts w:ascii="Arial" w:hAnsi="Arial" w:cs="Arial"/>
          <w:sz w:val="22"/>
          <w:szCs w:val="22"/>
        </w:rPr>
        <w:lastRenderedPageBreak/>
        <w:t>4) Leases and common options</w:t>
      </w:r>
    </w:p>
    <w:p w14:paraId="4AB27F20" w14:textId="2230476E" w:rsidR="00287098" w:rsidRPr="00560308" w:rsidRDefault="0056030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Fixed term</w:t>
      </w:r>
      <w:r w:rsidR="00287098" w:rsidRPr="00560308">
        <w:rPr>
          <w:rFonts w:ascii="Arial" w:hAnsi="Arial" w:cs="Arial"/>
        </w:rPr>
        <w:t xml:space="preserve"> </w:t>
      </w:r>
      <w:proofErr w:type="gramStart"/>
      <w:r w:rsidR="00287098" w:rsidRPr="00560308">
        <w:rPr>
          <w:rFonts w:ascii="Arial" w:hAnsi="Arial" w:cs="Arial"/>
        </w:rPr>
        <w:t>lease:</w:t>
      </w:r>
      <w:proofErr w:type="gramEnd"/>
      <w:r w:rsidR="00287098" w:rsidRPr="00560308">
        <w:rPr>
          <w:rFonts w:ascii="Arial" w:hAnsi="Arial" w:cs="Arial"/>
        </w:rPr>
        <w:t xml:space="preserve"> lasts for a set period (often 6 or 12 months). Terms usually stay the same until renewal.</w:t>
      </w:r>
    </w:p>
    <w:p w14:paraId="3CC3C8C4" w14:textId="09B6B1C6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Month-to-</w:t>
      </w:r>
      <w:proofErr w:type="gramStart"/>
      <w:r w:rsidRPr="00560308">
        <w:rPr>
          <w:rFonts w:ascii="Arial" w:hAnsi="Arial" w:cs="Arial"/>
        </w:rPr>
        <w:t>month:</w:t>
      </w:r>
      <w:proofErr w:type="gramEnd"/>
      <w:r w:rsidRPr="00560308">
        <w:rPr>
          <w:rFonts w:ascii="Arial" w:hAnsi="Arial" w:cs="Arial"/>
        </w:rPr>
        <w:t xml:space="preserve"> renews each month until ended by you or the landlord with proper notice. Notice periods vary by location.</w:t>
      </w:r>
    </w:p>
    <w:p w14:paraId="3DF9CE63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 xml:space="preserve">Before you sign, </w:t>
      </w:r>
      <w:proofErr w:type="gramStart"/>
      <w:r w:rsidRPr="00560308">
        <w:rPr>
          <w:rFonts w:ascii="Arial" w:hAnsi="Arial" w:cs="Arial"/>
        </w:rPr>
        <w:t>confirm:</w:t>
      </w:r>
      <w:proofErr w:type="gramEnd"/>
      <w:r w:rsidRPr="00560308">
        <w:rPr>
          <w:rFonts w:ascii="Arial" w:hAnsi="Arial" w:cs="Arial"/>
        </w:rPr>
        <w:t xml:space="preserve"> rent amount, due date, late fees, utilities (what you pay vs. what is included), maintenance rules, guest policy, renewal terms, and how notices must be delivered.</w:t>
      </w:r>
    </w:p>
    <w:p w14:paraId="336F74DF" w14:textId="77777777" w:rsidR="00287098" w:rsidRPr="00560308" w:rsidRDefault="00287098" w:rsidP="00560308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560308">
        <w:rPr>
          <w:rFonts w:ascii="Arial" w:hAnsi="Arial" w:cs="Arial"/>
          <w:sz w:val="22"/>
          <w:szCs w:val="22"/>
        </w:rPr>
        <w:t>5) Rent, utilities, and security deposits</w:t>
      </w:r>
    </w:p>
    <w:p w14:paraId="55E35EBC" w14:textId="77777777" w:rsidR="00287098" w:rsidRPr="00560308" w:rsidRDefault="00287098" w:rsidP="00560308">
      <w:pPr>
        <w:jc w:val="both"/>
      </w:pPr>
      <w:r w:rsidRPr="00560308">
        <w:t xml:space="preserve">Two concepts matter most: what you can afford and what you are responsible </w:t>
      </w:r>
      <w:proofErr w:type="gramStart"/>
      <w:r w:rsidRPr="00560308">
        <w:t>to pay</w:t>
      </w:r>
      <w:proofErr w:type="gramEnd"/>
      <w:r w:rsidRPr="00560308">
        <w:t xml:space="preserve"> each month.</w:t>
      </w:r>
    </w:p>
    <w:p w14:paraId="0EB63654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Affordability guideline: Housing costs are often considered affordable when rent and basic utilities are about 30% of household income. This is a rule-of-thumb; program calculations may use adjusted income and specific formulas.</w:t>
      </w:r>
    </w:p>
    <w:p w14:paraId="7F4EFACB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Utility allowance (in some programs): If you pay utilities separately, programs may use a standard estimate of reasonable utility costs when calculating your share of rent.</w:t>
      </w:r>
    </w:p>
    <w:p w14:paraId="13F84C7D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 xml:space="preserve">Security deposit: Many states limit deposit amounts and set deadlines for return. In general, deposits can be used for unpaid rent or damages beyond normal wear and </w:t>
      </w:r>
      <w:proofErr w:type="gramStart"/>
      <w:r w:rsidRPr="00560308">
        <w:rPr>
          <w:rFonts w:ascii="Arial" w:hAnsi="Arial" w:cs="Arial"/>
        </w:rPr>
        <w:t>tear</w:t>
      </w:r>
      <w:proofErr w:type="gramEnd"/>
      <w:r w:rsidRPr="00560308">
        <w:rPr>
          <w:rFonts w:ascii="Arial" w:hAnsi="Arial" w:cs="Arial"/>
        </w:rPr>
        <w:t>, and you should receive an itemized list of deductions when required by law.</w:t>
      </w:r>
    </w:p>
    <w:p w14:paraId="379B0BF0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Move-in and move-out: Do a walk-through checklist, take photos, and keep copies to support deposit return.</w:t>
      </w:r>
    </w:p>
    <w:p w14:paraId="5225B653" w14:textId="77777777" w:rsidR="00287098" w:rsidRPr="00560308" w:rsidRDefault="00287098" w:rsidP="00560308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560308">
        <w:rPr>
          <w:rFonts w:ascii="Arial" w:hAnsi="Arial" w:cs="Arial"/>
          <w:sz w:val="22"/>
          <w:szCs w:val="22"/>
        </w:rPr>
        <w:t>6) Evictions and protections</w:t>
      </w:r>
    </w:p>
    <w:p w14:paraId="0BD07A94" w14:textId="77777777" w:rsidR="00287098" w:rsidRPr="00560308" w:rsidRDefault="00287098" w:rsidP="00560308">
      <w:pPr>
        <w:jc w:val="both"/>
      </w:pPr>
      <w:r w:rsidRPr="00560308">
        <w:t>Eviction rules vary, but most places require a legal process. A landlord generally cannot force you out by changing locks or shutting off utilities.</w:t>
      </w:r>
    </w:p>
    <w:p w14:paraId="57FB2CDF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Common reasons for eviction: nonpayment of rent, serious or repeated lease violations, or certain illegal activity.</w:t>
      </w:r>
    </w:p>
    <w:p w14:paraId="59F54E30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The process usually starts with a written notice. If the issue is not resolved, the landlord may file an eviction case in court.</w:t>
      </w:r>
    </w:p>
    <w:p w14:paraId="32C565D9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If you receive a notice: do not ignore it. Read it carefully, track deadlines, and get help right away (legal aid, tenant hotline, or a housing counselor).</w:t>
      </w:r>
    </w:p>
    <w:p w14:paraId="59E10A93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 xml:space="preserve">Subsidized housing may have additional </w:t>
      </w:r>
      <w:proofErr w:type="gramStart"/>
      <w:r w:rsidRPr="00560308">
        <w:rPr>
          <w:rFonts w:ascii="Arial" w:hAnsi="Arial" w:cs="Arial"/>
        </w:rPr>
        <w:t>protections</w:t>
      </w:r>
      <w:proofErr w:type="gramEnd"/>
      <w:r w:rsidRPr="00560308">
        <w:rPr>
          <w:rFonts w:ascii="Arial" w:hAnsi="Arial" w:cs="Arial"/>
        </w:rPr>
        <w:t xml:space="preserve"> (for example, 'good cause' requirements and specific notice rules). Always review your program rules and lease addendums.</w:t>
      </w:r>
    </w:p>
    <w:p w14:paraId="295F93F4" w14:textId="77777777" w:rsidR="00287098" w:rsidRPr="00560308" w:rsidRDefault="00287098" w:rsidP="00560308">
      <w:pPr>
        <w:jc w:val="both"/>
      </w:pPr>
    </w:p>
    <w:p w14:paraId="52BBB65B" w14:textId="77777777" w:rsidR="00287098" w:rsidRPr="00560308" w:rsidRDefault="00287098" w:rsidP="00560308">
      <w:pPr>
        <w:jc w:val="both"/>
      </w:pPr>
      <w:r w:rsidRPr="00560308">
        <w:rPr>
          <w:b/>
        </w:rPr>
        <w:t xml:space="preserve">Quick tip: </w:t>
      </w:r>
      <w:r w:rsidRPr="00560308">
        <w:t>If you can, bring these to any help appointment: your lease, notices from your landlord, proof of rent payments, photos, and any written messages.</w:t>
      </w:r>
    </w:p>
    <w:p w14:paraId="064F9C2D" w14:textId="77777777" w:rsidR="00287098" w:rsidRPr="00560308" w:rsidRDefault="00287098" w:rsidP="00560308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560308">
        <w:rPr>
          <w:rFonts w:ascii="Arial" w:hAnsi="Arial" w:cs="Arial"/>
          <w:sz w:val="22"/>
          <w:szCs w:val="22"/>
        </w:rPr>
        <w:lastRenderedPageBreak/>
        <w:t>7) Rental assistance programs (examples)</w:t>
      </w:r>
    </w:p>
    <w:p w14:paraId="37271907" w14:textId="77777777" w:rsidR="00287098" w:rsidRPr="00560308" w:rsidRDefault="00287098" w:rsidP="00560308">
      <w:pPr>
        <w:jc w:val="both"/>
      </w:pPr>
      <w:r w:rsidRPr="00560308">
        <w:t>Programs differ by community. Waiting lists can be long, so it helps to apply early and keep your contact information updated.</w:t>
      </w:r>
    </w:p>
    <w:p w14:paraId="71F80199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Housing Choice Voucher (often called 'Section 8'): helps pay rent in the private market through a local Public Housing Agency (PHA).</w:t>
      </w:r>
    </w:p>
    <w:p w14:paraId="5262458A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Public housing: housing owned/managed by a local PHA.</w:t>
      </w:r>
    </w:p>
    <w:p w14:paraId="1F129BD2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Project-based assistance (for example, project-based vouchers or project-based rental assistance): the subsidy is tied to the unit, not the tenant.</w:t>
      </w:r>
    </w:p>
    <w:p w14:paraId="27F09537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Short-term help: local emergency rental assistance, homelessness prevention programs, and charitable resources may be available in your area.</w:t>
      </w:r>
    </w:p>
    <w:p w14:paraId="53993539" w14:textId="77777777" w:rsidR="00287098" w:rsidRPr="00560308" w:rsidRDefault="00287098" w:rsidP="00560308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560308">
        <w:rPr>
          <w:rFonts w:ascii="Arial" w:hAnsi="Arial" w:cs="Arial"/>
          <w:sz w:val="22"/>
          <w:szCs w:val="22"/>
        </w:rPr>
        <w:t>8) Budgeting and affordability</w:t>
      </w:r>
    </w:p>
    <w:p w14:paraId="379BA82B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Start with the basics: list monthly take-home income and fixed expenses (rent, utilities, transportation, childcare, debt payments).</w:t>
      </w:r>
    </w:p>
    <w:p w14:paraId="698F5901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Plan for annual/irregular expenses (car repairs, school costs, medical copays) so they do not derail rent payments.</w:t>
      </w:r>
    </w:p>
    <w:p w14:paraId="3B565DF8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If you fall behind: contact your landlord immediately, ask about a payment plan in writing, and apply for assistance early.</w:t>
      </w:r>
    </w:p>
    <w:p w14:paraId="7B5FCE6E" w14:textId="77777777" w:rsidR="00287098" w:rsidRPr="00560308" w:rsidRDefault="00287098" w:rsidP="00560308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560308">
        <w:rPr>
          <w:rFonts w:ascii="Arial" w:hAnsi="Arial" w:cs="Arial"/>
          <w:sz w:val="22"/>
          <w:szCs w:val="22"/>
        </w:rPr>
        <w:t>9) Lead safety in older housing (pre-1978)</w:t>
      </w:r>
    </w:p>
    <w:p w14:paraId="257F3BE9" w14:textId="77777777" w:rsidR="00287098" w:rsidRPr="00560308" w:rsidRDefault="00287098" w:rsidP="00560308">
      <w:pPr>
        <w:jc w:val="both"/>
      </w:pPr>
      <w:r w:rsidRPr="00560308">
        <w:t>Federal law requires specific lead disclosures before renting or buying most pre-1978 housing.</w:t>
      </w:r>
    </w:p>
    <w:p w14:paraId="1D2A2D7E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Landlords must disclose any known lead-based paint and lead hazards and provide available reports/records before the lease takes effect.</w:t>
      </w:r>
    </w:p>
    <w:p w14:paraId="761FF810" w14:textId="40DBD726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 xml:space="preserve">Landlords must provide the EPA pamphlet 'Protect Your Family </w:t>
      </w:r>
      <w:r w:rsidR="00560308" w:rsidRPr="00560308">
        <w:rPr>
          <w:rFonts w:ascii="Arial" w:hAnsi="Arial" w:cs="Arial"/>
        </w:rPr>
        <w:t>from</w:t>
      </w:r>
      <w:r w:rsidRPr="00560308">
        <w:rPr>
          <w:rFonts w:ascii="Arial" w:hAnsi="Arial" w:cs="Arial"/>
        </w:rPr>
        <w:t xml:space="preserve"> Lead in Your Home' to renters in covered housing.</w:t>
      </w:r>
    </w:p>
    <w:p w14:paraId="437C6DFB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If you see peeling or chipping paint (especially around windows and doors), notify your landlord promptly in writing and keep children away from the area.</w:t>
      </w:r>
    </w:p>
    <w:p w14:paraId="17940CE1" w14:textId="77777777" w:rsidR="00287098" w:rsidRPr="00560308" w:rsidRDefault="00287098" w:rsidP="00560308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560308">
        <w:rPr>
          <w:rFonts w:ascii="Arial" w:hAnsi="Arial" w:cs="Arial"/>
          <w:sz w:val="22"/>
          <w:szCs w:val="22"/>
        </w:rPr>
        <w:t>10) Where to get help</w:t>
      </w:r>
    </w:p>
    <w:p w14:paraId="25BECD49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We can help you understand your options and prepare for next steps. (Insert your agency contact information here.)</w:t>
      </w:r>
    </w:p>
    <w:p w14:paraId="23D6302E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HUD housing counseling locator: https://www.hud.gov/findacounselor</w:t>
      </w:r>
    </w:p>
    <w:p w14:paraId="6B031333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Report housing discrimination to HUD: https://www.hud.gov/reporthousingdiscrimination</w:t>
      </w:r>
    </w:p>
    <w:p w14:paraId="70047819" w14:textId="77777777" w:rsidR="0028709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 xml:space="preserve">EPA </w:t>
      </w:r>
      <w:proofErr w:type="gramStart"/>
      <w:r w:rsidRPr="00560308">
        <w:rPr>
          <w:rFonts w:ascii="Arial" w:hAnsi="Arial" w:cs="Arial"/>
        </w:rPr>
        <w:t>lead</w:t>
      </w:r>
      <w:proofErr w:type="gramEnd"/>
      <w:r w:rsidRPr="00560308">
        <w:rPr>
          <w:rFonts w:ascii="Arial" w:hAnsi="Arial" w:cs="Arial"/>
        </w:rPr>
        <w:t xml:space="preserve"> information and the required pamphlet: https://www.epa.gov/lead/protect-your-family-lead-your-home-english</w:t>
      </w:r>
    </w:p>
    <w:p w14:paraId="67953FA8" w14:textId="1C6AB2BA" w:rsidR="004518E8" w:rsidRPr="00560308" w:rsidRDefault="00287098" w:rsidP="00560308">
      <w:pPr>
        <w:pStyle w:val="ListBullet"/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560308">
        <w:rPr>
          <w:rFonts w:ascii="Arial" w:hAnsi="Arial" w:cs="Arial"/>
        </w:rPr>
        <w:t>Call 2-1-1 in many areas for local rental assistance and community resources.</w:t>
      </w:r>
    </w:p>
    <w:sectPr w:rsidR="004518E8" w:rsidRPr="00560308" w:rsidSect="00E812BF">
      <w:headerReference w:type="default" r:id="rId7"/>
      <w:footerReference w:type="default" r:id="rId8"/>
      <w:pgSz w:w="12240" w:h="15840"/>
      <w:pgMar w:top="273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24ADD" w14:textId="77777777" w:rsidR="00E03F1B" w:rsidRDefault="00E03F1B" w:rsidP="00E812BF">
      <w:pPr>
        <w:spacing w:line="240" w:lineRule="auto"/>
      </w:pPr>
      <w:r>
        <w:separator/>
      </w:r>
    </w:p>
  </w:endnote>
  <w:endnote w:type="continuationSeparator" w:id="0">
    <w:p w14:paraId="55547A6C" w14:textId="77777777" w:rsidR="00E03F1B" w:rsidRDefault="00E03F1B" w:rsidP="00E812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CA3F" w14:textId="19783F4C" w:rsidR="00A93D88" w:rsidRPr="009650C2" w:rsidRDefault="009650C2">
    <w:pPr>
      <w:pStyle w:val="Footer"/>
      <w:rPr>
        <w:rFonts w:ascii="Calibri" w:hAnsi="Calibri" w:cs="Calibri"/>
      </w:rPr>
    </w:pPr>
    <w:r w:rsidRPr="004E0853">
      <w:rPr>
        <w:color w:val="7F7F7F" w:themeColor="background1" w:themeShade="7F"/>
        <w:spacing w:val="60"/>
        <w:sz w:val="18"/>
        <w:szCs w:val="18"/>
      </w:rPr>
      <w:t>Page</w:t>
    </w:r>
    <w:r w:rsidRPr="004E0853">
      <w:rPr>
        <w:sz w:val="18"/>
        <w:szCs w:val="18"/>
      </w:rPr>
      <w:t xml:space="preserve"> | </w:t>
    </w:r>
    <w:r w:rsidRPr="004E0853">
      <w:rPr>
        <w:sz w:val="18"/>
        <w:szCs w:val="18"/>
      </w:rPr>
      <w:fldChar w:fldCharType="begin"/>
    </w:r>
    <w:r w:rsidRPr="004E0853">
      <w:rPr>
        <w:sz w:val="18"/>
        <w:szCs w:val="18"/>
      </w:rPr>
      <w:instrText xml:space="preserve"> PAGE   \* MERGEFORMAT </w:instrText>
    </w:r>
    <w:r w:rsidRPr="004E0853">
      <w:rPr>
        <w:sz w:val="18"/>
        <w:szCs w:val="18"/>
      </w:rPr>
      <w:fldChar w:fldCharType="separate"/>
    </w:r>
    <w:r w:rsidRPr="004E0853">
      <w:rPr>
        <w:b/>
        <w:bCs/>
        <w:noProof/>
        <w:sz w:val="18"/>
        <w:szCs w:val="18"/>
      </w:rPr>
      <w:t>1</w:t>
    </w:r>
    <w:r w:rsidRPr="004E0853">
      <w:rPr>
        <w:b/>
        <w:bCs/>
        <w:noProof/>
        <w:sz w:val="18"/>
        <w:szCs w:val="18"/>
      </w:rPr>
      <w:fldChar w:fldCharType="end"/>
    </w:r>
    <w:r w:rsidRPr="004E0853">
      <w:rPr>
        <w:sz w:val="18"/>
        <w:szCs w:val="18"/>
      </w:rPr>
      <w:ptab w:relativeTo="margin" w:alignment="center" w:leader="none"/>
    </w:r>
    <w:r w:rsidRPr="004E0853">
      <w:rPr>
        <w:sz w:val="18"/>
        <w:szCs w:val="18"/>
      </w:rPr>
      <w:ptab w:relativeTo="margin" w:alignment="right" w:leader="none"/>
    </w:r>
    <w:r w:rsidR="004E0853" w:rsidRPr="004E0853">
      <w:rPr>
        <w:sz w:val="18"/>
        <w:szCs w:val="18"/>
      </w:rPr>
      <w:t>1187v01/27/2026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0C01B" w14:textId="77777777" w:rsidR="00E03F1B" w:rsidRDefault="00E03F1B" w:rsidP="00E812BF">
      <w:pPr>
        <w:spacing w:line="240" w:lineRule="auto"/>
      </w:pPr>
      <w:r>
        <w:separator/>
      </w:r>
    </w:p>
  </w:footnote>
  <w:footnote w:type="continuationSeparator" w:id="0">
    <w:p w14:paraId="6A3C33FD" w14:textId="77777777" w:rsidR="00E03F1B" w:rsidRDefault="00E03F1B" w:rsidP="00E812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4465" w14:textId="1D82A4E8" w:rsidR="00E812BF" w:rsidRPr="00E812BF" w:rsidRDefault="00E812BF" w:rsidP="00E812B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FD266F" wp14:editId="2B0F1898">
          <wp:simplePos x="0" y="0"/>
          <wp:positionH relativeFrom="page">
            <wp:align>right</wp:align>
          </wp:positionH>
          <wp:positionV relativeFrom="paragraph">
            <wp:posOffset>-455771</wp:posOffset>
          </wp:positionV>
          <wp:extent cx="7767585" cy="10055127"/>
          <wp:effectExtent l="0" t="0" r="5080" b="3810"/>
          <wp:wrapNone/>
          <wp:docPr id="8598233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35743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585" cy="10055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1290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683309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BF"/>
    <w:rsid w:val="00013E61"/>
    <w:rsid w:val="00023B9B"/>
    <w:rsid w:val="000333E2"/>
    <w:rsid w:val="00042E60"/>
    <w:rsid w:val="0005079C"/>
    <w:rsid w:val="00057422"/>
    <w:rsid w:val="00104498"/>
    <w:rsid w:val="00135795"/>
    <w:rsid w:val="001741E4"/>
    <w:rsid w:val="00184762"/>
    <w:rsid w:val="001E208F"/>
    <w:rsid w:val="001F2A9F"/>
    <w:rsid w:val="001F2CE1"/>
    <w:rsid w:val="002074A0"/>
    <w:rsid w:val="0021314C"/>
    <w:rsid w:val="00233F5F"/>
    <w:rsid w:val="00287098"/>
    <w:rsid w:val="00295D63"/>
    <w:rsid w:val="002A5F4A"/>
    <w:rsid w:val="002A7123"/>
    <w:rsid w:val="00332AB9"/>
    <w:rsid w:val="00333CE4"/>
    <w:rsid w:val="003507A4"/>
    <w:rsid w:val="003551E8"/>
    <w:rsid w:val="003605B5"/>
    <w:rsid w:val="00373FA4"/>
    <w:rsid w:val="003A51AE"/>
    <w:rsid w:val="003B1961"/>
    <w:rsid w:val="003C39AB"/>
    <w:rsid w:val="003C4077"/>
    <w:rsid w:val="003D1670"/>
    <w:rsid w:val="003E61B0"/>
    <w:rsid w:val="004063FB"/>
    <w:rsid w:val="00414F6C"/>
    <w:rsid w:val="00421BDC"/>
    <w:rsid w:val="004379BA"/>
    <w:rsid w:val="00443779"/>
    <w:rsid w:val="004518E8"/>
    <w:rsid w:val="00462898"/>
    <w:rsid w:val="004759D2"/>
    <w:rsid w:val="00486C28"/>
    <w:rsid w:val="004A3556"/>
    <w:rsid w:val="004B6F45"/>
    <w:rsid w:val="004B7F7D"/>
    <w:rsid w:val="004E0853"/>
    <w:rsid w:val="004E0E10"/>
    <w:rsid w:val="004F1AFC"/>
    <w:rsid w:val="005124BB"/>
    <w:rsid w:val="00560308"/>
    <w:rsid w:val="00574412"/>
    <w:rsid w:val="00580ACE"/>
    <w:rsid w:val="0059470B"/>
    <w:rsid w:val="005C31A9"/>
    <w:rsid w:val="005E6CCE"/>
    <w:rsid w:val="005F0463"/>
    <w:rsid w:val="00615A2B"/>
    <w:rsid w:val="00620DB7"/>
    <w:rsid w:val="00626555"/>
    <w:rsid w:val="00627D34"/>
    <w:rsid w:val="0063774D"/>
    <w:rsid w:val="0064496E"/>
    <w:rsid w:val="0065367A"/>
    <w:rsid w:val="00662810"/>
    <w:rsid w:val="006A0801"/>
    <w:rsid w:val="006C5C87"/>
    <w:rsid w:val="006D50A3"/>
    <w:rsid w:val="006D777B"/>
    <w:rsid w:val="006F0879"/>
    <w:rsid w:val="006F43F4"/>
    <w:rsid w:val="0070180E"/>
    <w:rsid w:val="007216E2"/>
    <w:rsid w:val="007429B0"/>
    <w:rsid w:val="00751E36"/>
    <w:rsid w:val="007732A6"/>
    <w:rsid w:val="00785A98"/>
    <w:rsid w:val="007B3FBD"/>
    <w:rsid w:val="007B76DC"/>
    <w:rsid w:val="007D32EA"/>
    <w:rsid w:val="007E2BB7"/>
    <w:rsid w:val="007F64E6"/>
    <w:rsid w:val="008100EC"/>
    <w:rsid w:val="00822BE1"/>
    <w:rsid w:val="00823DCA"/>
    <w:rsid w:val="00836769"/>
    <w:rsid w:val="008373F0"/>
    <w:rsid w:val="00851AD5"/>
    <w:rsid w:val="00851E3A"/>
    <w:rsid w:val="00856EAD"/>
    <w:rsid w:val="0086719C"/>
    <w:rsid w:val="008705AB"/>
    <w:rsid w:val="00872F5D"/>
    <w:rsid w:val="00876BB3"/>
    <w:rsid w:val="008C625A"/>
    <w:rsid w:val="008E04AF"/>
    <w:rsid w:val="008E5E89"/>
    <w:rsid w:val="00903E3F"/>
    <w:rsid w:val="00907ACD"/>
    <w:rsid w:val="00941396"/>
    <w:rsid w:val="009650C2"/>
    <w:rsid w:val="00994D22"/>
    <w:rsid w:val="00997455"/>
    <w:rsid w:val="009A3B23"/>
    <w:rsid w:val="009C59C1"/>
    <w:rsid w:val="009D3336"/>
    <w:rsid w:val="009D6C90"/>
    <w:rsid w:val="009F1009"/>
    <w:rsid w:val="009F1D5D"/>
    <w:rsid w:val="009F20BC"/>
    <w:rsid w:val="00A621F4"/>
    <w:rsid w:val="00A75CC8"/>
    <w:rsid w:val="00A83EA7"/>
    <w:rsid w:val="00A93D88"/>
    <w:rsid w:val="00AB072B"/>
    <w:rsid w:val="00AB786B"/>
    <w:rsid w:val="00AD6542"/>
    <w:rsid w:val="00AF2E5D"/>
    <w:rsid w:val="00B41342"/>
    <w:rsid w:val="00B569C3"/>
    <w:rsid w:val="00BB514F"/>
    <w:rsid w:val="00BD7EBD"/>
    <w:rsid w:val="00C05361"/>
    <w:rsid w:val="00C34D08"/>
    <w:rsid w:val="00C45857"/>
    <w:rsid w:val="00CA4CF9"/>
    <w:rsid w:val="00CA6356"/>
    <w:rsid w:val="00CD64A5"/>
    <w:rsid w:val="00CF5B50"/>
    <w:rsid w:val="00CF6CF8"/>
    <w:rsid w:val="00D02A70"/>
    <w:rsid w:val="00D41FF7"/>
    <w:rsid w:val="00D43D02"/>
    <w:rsid w:val="00D46809"/>
    <w:rsid w:val="00D67523"/>
    <w:rsid w:val="00D75591"/>
    <w:rsid w:val="00DA6BEB"/>
    <w:rsid w:val="00DD37D3"/>
    <w:rsid w:val="00DE0E6D"/>
    <w:rsid w:val="00DE30A3"/>
    <w:rsid w:val="00DE4FEF"/>
    <w:rsid w:val="00DF4E8F"/>
    <w:rsid w:val="00DF6959"/>
    <w:rsid w:val="00E03F1B"/>
    <w:rsid w:val="00E07945"/>
    <w:rsid w:val="00E10DC4"/>
    <w:rsid w:val="00E13A4C"/>
    <w:rsid w:val="00E16574"/>
    <w:rsid w:val="00E72663"/>
    <w:rsid w:val="00E812BF"/>
    <w:rsid w:val="00E84F22"/>
    <w:rsid w:val="00EB6A59"/>
    <w:rsid w:val="00ED574C"/>
    <w:rsid w:val="00F156B9"/>
    <w:rsid w:val="00F1590B"/>
    <w:rsid w:val="00F21A87"/>
    <w:rsid w:val="00F36B4A"/>
    <w:rsid w:val="00F41C44"/>
    <w:rsid w:val="00F47FB7"/>
    <w:rsid w:val="00F72441"/>
    <w:rsid w:val="00F834F7"/>
    <w:rsid w:val="00F875E7"/>
    <w:rsid w:val="00FA11EE"/>
    <w:rsid w:val="00FB2E1E"/>
    <w:rsid w:val="00FC4544"/>
    <w:rsid w:val="00FC52D9"/>
    <w:rsid w:val="00FD658F"/>
    <w:rsid w:val="00FE17B9"/>
    <w:rsid w:val="00FE5CCA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6F25E"/>
  <w15:chartTrackingRefBased/>
  <w15:docId w15:val="{877964EC-A222-44F5-AABF-3AE292E0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9A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2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2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2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2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2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2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2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2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2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12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2BF"/>
  </w:style>
  <w:style w:type="paragraph" w:styleId="Footer">
    <w:name w:val="footer"/>
    <w:basedOn w:val="Normal"/>
    <w:link w:val="FooterChar"/>
    <w:uiPriority w:val="99"/>
    <w:unhideWhenUsed/>
    <w:rsid w:val="00E812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2BF"/>
  </w:style>
  <w:style w:type="character" w:styleId="Hyperlink">
    <w:name w:val="Hyperlink"/>
    <w:basedOn w:val="DefaultParagraphFont"/>
    <w:uiPriority w:val="99"/>
    <w:unhideWhenUsed/>
    <w:rsid w:val="00751E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E6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84762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01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518E8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customStyle="1" w:styleId="xmsonormal">
    <w:name w:val="x_msonormal"/>
    <w:basedOn w:val="Normal"/>
    <w:uiPriority w:val="99"/>
    <w:rsid w:val="004518E8"/>
    <w:pPr>
      <w:spacing w:line="240" w:lineRule="auto"/>
    </w:pPr>
    <w:rPr>
      <w:rFonts w:ascii="Aptos" w:eastAsiaTheme="minorHAnsi" w:hAnsi="Aptos" w:cs="Aptos"/>
      <w:sz w:val="24"/>
      <w:szCs w:val="24"/>
      <w:lang w:val="en-US"/>
    </w:rPr>
  </w:style>
  <w:style w:type="paragraph" w:customStyle="1" w:styleId="xelementtoproof">
    <w:name w:val="x_elementtoproof"/>
    <w:basedOn w:val="Normal"/>
    <w:uiPriority w:val="99"/>
    <w:semiHidden/>
    <w:rsid w:val="00ED574C"/>
    <w:pPr>
      <w:spacing w:line="240" w:lineRule="auto"/>
    </w:pPr>
    <w:rPr>
      <w:rFonts w:ascii="Aptos" w:eastAsiaTheme="minorHAnsi" w:hAnsi="Aptos" w:cs="Aptos"/>
      <w:sz w:val="24"/>
      <w:szCs w:val="24"/>
      <w:lang w:val="en-US"/>
    </w:rPr>
  </w:style>
  <w:style w:type="character" w:styleId="Mention">
    <w:name w:val="Mention"/>
    <w:basedOn w:val="DefaultParagraphFont"/>
    <w:uiPriority w:val="99"/>
    <w:unhideWhenUsed/>
    <w:rsid w:val="00ED574C"/>
    <w:rPr>
      <w:color w:val="2B579A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6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4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4A5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4A5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character" w:styleId="Strong">
    <w:name w:val="Strong"/>
    <w:basedOn w:val="DefaultParagraphFont"/>
    <w:uiPriority w:val="22"/>
    <w:qFormat/>
    <w:rsid w:val="00D67523"/>
    <w:rPr>
      <w:b/>
      <w:bCs/>
    </w:rPr>
  </w:style>
  <w:style w:type="character" w:customStyle="1" w:styleId="vkekvd">
    <w:name w:val="vkekvd"/>
    <w:basedOn w:val="DefaultParagraphFont"/>
    <w:rsid w:val="00D67523"/>
  </w:style>
  <w:style w:type="paragraph" w:styleId="ListBullet">
    <w:name w:val="List Bullet"/>
    <w:basedOn w:val="Normal"/>
    <w:uiPriority w:val="99"/>
    <w:unhideWhenUsed/>
    <w:rsid w:val="00287098"/>
    <w:pPr>
      <w:numPr>
        <w:numId w:val="1"/>
      </w:numPr>
      <w:tabs>
        <w:tab w:val="clear" w:pos="360"/>
      </w:tabs>
      <w:spacing w:after="200"/>
      <w:ind w:left="0" w:firstLine="0"/>
      <w:contextualSpacing/>
    </w:pPr>
    <w:rPr>
      <w:rFonts w:ascii="Calibri" w:eastAsia="Calibri" w:hAnsi="Calibr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947</Words>
  <Characters>5402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Kidd</dc:creator>
  <cp:keywords/>
  <dc:description/>
  <cp:lastModifiedBy>Michelle Taylor</cp:lastModifiedBy>
  <cp:revision>2</cp:revision>
  <cp:lastPrinted>2025-09-29T16:30:00Z</cp:lastPrinted>
  <dcterms:created xsi:type="dcterms:W3CDTF">2026-01-27T18:21:00Z</dcterms:created>
  <dcterms:modified xsi:type="dcterms:W3CDTF">2026-01-27T18:21:00Z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GrammarlyDocumentId" pid="2">
    <vt:lpwstr>0acbc885-0f0d-4f7a-83a1-fe83c1890e5a</vt:lpwstr>
  </property>
  <property fmtid="{D5CDD505-2E9C-101B-9397-08002B2CF9AE}" name="NXPowerLiteLastOptimized" pid="3">
    <vt:lpwstr>42490</vt:lpwstr>
  </property>
  <property fmtid="{D5CDD505-2E9C-101B-9397-08002B2CF9AE}" name="NXPowerLiteSettings" pid="4">
    <vt:lpwstr>E7000400038000</vt:lpwstr>
  </property>
  <property fmtid="{D5CDD505-2E9C-101B-9397-08002B2CF9AE}" name="NXPowerLiteVersion" pid="5">
    <vt:lpwstr>S10.9.5</vt:lpwstr>
  </property>
</Properties>
</file>