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77C6AF7E" w14:textId="77777777" w:rsidP="00C335B7" w:rsidR="00C335B7" w:rsidRDefault="00C335B7" w:rsidRPr="00C335B7">
      <w:p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kern w:val="0"/>
          <w:sz w:val="20"/>
          <w:szCs w:val="20"/>
          <w:lang w:val="es-US"/>
        </w:rPr>
        <w:t>Credit.org es una agencia de consejería de vivienda aprobada por el Departamento de Vivienda y Desarrollo Urbano de los Estados Unidos (HUD) y una organización sin fines de lucro de consejería de crédito al consumidor dedicada a ayudar a las personas a mejorar su bienestar financiero. Ofrecemos consejería y educación sobre temas como hipotecas inversas, crédito, deuda, bancarrota y referencias a otros servicios que puedan satisfacer sus necesidades. Adicionalmente, proporcionamos programas de manejo de deuda para aquellos que buscan asistencia con deuda no garantizada.</w:t>
      </w:r>
    </w:p>
    <w:p w14:paraId="1C475C1A" w14:textId="77777777" w:rsidP="00C335B7" w:rsidR="00C335B7" w:rsidRDefault="00C335B7" w:rsidRPr="00C335B7">
      <w:p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kern w:val="0"/>
          <w:sz w:val="20"/>
          <w:szCs w:val="20"/>
          <w:lang w:val="es-US"/>
        </w:rPr>
        <w:t>Credit.org ofrece una variedad de servicios de consejería de vivienda y educación financiera, incluyendo:</w:t>
      </w:r>
    </w:p>
    <w:p w14:paraId="78A51780" w14:textId="77777777" w:rsidP="00C335B7" w:rsidR="00C335B7" w:rsidRDefault="00C335B7" w:rsidRPr="00C335B7">
      <w:pPr>
        <w:numPr>
          <w:ilvl w:val="0"/>
          <w:numId w:val="6"/>
        </w:num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b/>
          <w:bCs/>
          <w:kern w:val="0"/>
          <w:sz w:val="20"/>
          <w:szCs w:val="20"/>
          <w:lang w:val="es-US"/>
        </w:rPr>
        <w:t>Consejería de Manejo Financiero y Presupuesto</w:t>
      </w:r>
      <w:r w:rsidRPr="00C335B7">
        <w:rPr>
          <w:rFonts w:ascii="Arial" w:cs="Arial" w:eastAsia="Times New Roman" w:hAnsi="Arial"/>
          <w:kern w:val="0"/>
          <w:sz w:val="20"/>
          <w:szCs w:val="20"/>
          <w:lang w:val="es-US"/>
        </w:rPr>
        <w:t xml:space="preserve"> -- Sesiones individuales enfocadas en presupuestos, manejo de ingresos y gastos, construcción de ahorros y creación de metas financieras.</w:t>
      </w:r>
    </w:p>
    <w:p w14:paraId="70838355" w14:textId="77777777" w:rsidP="00C335B7" w:rsidR="00C335B7" w:rsidRDefault="00C335B7" w:rsidRPr="00C335B7">
      <w:pPr>
        <w:numPr>
          <w:ilvl w:val="0"/>
          <w:numId w:val="6"/>
        </w:num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b/>
          <w:bCs/>
          <w:kern w:val="0"/>
          <w:sz w:val="20"/>
          <w:szCs w:val="20"/>
          <w:lang w:val="es-US"/>
        </w:rPr>
        <w:t>Revisión del Reporte de Crédito</w:t>
      </w:r>
      <w:r w:rsidRPr="00C335B7">
        <w:rPr>
          <w:rFonts w:ascii="Arial" w:cs="Arial" w:eastAsia="Times New Roman" w:hAnsi="Arial"/>
          <w:kern w:val="0"/>
          <w:sz w:val="20"/>
          <w:szCs w:val="20"/>
          <w:lang w:val="es-US"/>
        </w:rPr>
        <w:t xml:space="preserve"> -- Análisis detallado de sus reportes de crédito para identificar errores, entender los factores del puntaje crediticio y desarrollar estrategias para el mejoramiento y la salud crediticia a largo plazo.</w:t>
      </w:r>
    </w:p>
    <w:p w14:paraId="00523B36" w14:textId="77777777" w:rsidP="00C335B7" w:rsidR="00C335B7" w:rsidRDefault="00C335B7" w:rsidRPr="00C335B7">
      <w:pPr>
        <w:numPr>
          <w:ilvl w:val="0"/>
          <w:numId w:val="6"/>
        </w:num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b/>
          <w:bCs/>
          <w:kern w:val="0"/>
          <w:sz w:val="20"/>
          <w:szCs w:val="20"/>
          <w:lang w:val="es-US"/>
        </w:rPr>
        <w:t>Consejería de Hipoteca Inversa (HECM y Propietaria)</w:t>
      </w:r>
      <w:r w:rsidRPr="00C335B7">
        <w:rPr>
          <w:rFonts w:ascii="Arial" w:cs="Arial" w:eastAsia="Times New Roman" w:hAnsi="Arial"/>
          <w:kern w:val="0"/>
          <w:sz w:val="20"/>
          <w:szCs w:val="20"/>
          <w:lang w:val="es-US"/>
        </w:rPr>
        <w:t xml:space="preserve"> -- Consejería aprobada por HUD para personas mayores que exploran opciones de hipoteca inversa, incluyendo elegibilidad, costos e impactos a largo plazo.</w:t>
      </w:r>
    </w:p>
    <w:p w14:paraId="6DB6264F" w14:textId="77777777" w:rsidP="00C335B7" w:rsidR="00C335B7" w:rsidRDefault="00C335B7" w:rsidRPr="00C335B7">
      <w:pPr>
        <w:numPr>
          <w:ilvl w:val="0"/>
          <w:numId w:val="6"/>
        </w:num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b/>
          <w:bCs/>
          <w:kern w:val="0"/>
          <w:sz w:val="20"/>
          <w:szCs w:val="20"/>
          <w:lang w:val="es-US"/>
        </w:rPr>
        <w:t>Consejería Rent4Success</w:t>
      </w:r>
      <w:r w:rsidRPr="00C335B7">
        <w:rPr>
          <w:rFonts w:ascii="Arial" w:cs="Arial" w:eastAsia="Times New Roman" w:hAnsi="Arial"/>
          <w:kern w:val="0"/>
          <w:sz w:val="20"/>
          <w:szCs w:val="20"/>
          <w:lang w:val="es-US"/>
        </w:rPr>
        <w:t xml:space="preserve"> -- Educación y orientación para inquilinos actuales y aspirantes sobre cómo ser inquilinos exitosos, incluyendo comprensión de términos de arrendamiento, construcción de historial de alquiler, presupuesto para vivienda y preparación para estabilidad a largo plazo.</w:t>
      </w:r>
    </w:p>
    <w:p w14:paraId="7FE89E88" w14:textId="77777777" w:rsidP="00C335B7" w:rsidR="00C335B7" w:rsidRDefault="00C335B7" w:rsidRPr="00C335B7">
      <w:pPr>
        <w:numPr>
          <w:ilvl w:val="0"/>
          <w:numId w:val="6"/>
        </w:num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b/>
          <w:bCs/>
          <w:kern w:val="0"/>
          <w:sz w:val="20"/>
          <w:szCs w:val="20"/>
          <w:lang w:val="es-US"/>
        </w:rPr>
        <w:t>Consejería Pre-Compra</w:t>
      </w:r>
      <w:r w:rsidRPr="00C335B7">
        <w:rPr>
          <w:rFonts w:ascii="Arial" w:cs="Arial" w:eastAsia="Times New Roman" w:hAnsi="Arial"/>
          <w:kern w:val="0"/>
          <w:sz w:val="20"/>
          <w:szCs w:val="20"/>
          <w:lang w:val="es-US"/>
        </w:rPr>
        <w:t xml:space="preserve"> -- Educación para aspirantes a compradores de vivienda sobre mejoramiento de crédito, presupuesto y preparación para calificación de hipoteca y preparación para ser propietario de vivienda.</w:t>
      </w:r>
    </w:p>
    <w:p w14:paraId="1A16BCF9" w14:textId="77777777" w:rsidP="00C335B7" w:rsidR="00C335B7" w:rsidRDefault="00C335B7" w:rsidRPr="00C335B7">
      <w:pPr>
        <w:numPr>
          <w:ilvl w:val="0"/>
          <w:numId w:val="6"/>
        </w:num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b/>
          <w:bCs/>
          <w:kern w:val="0"/>
          <w:sz w:val="20"/>
          <w:szCs w:val="20"/>
          <w:lang w:val="es-US"/>
        </w:rPr>
        <w:t>Consejería Post-Compra (Sin Morosidad)</w:t>
      </w:r>
      <w:r w:rsidRPr="00C335B7">
        <w:rPr>
          <w:rFonts w:ascii="Arial" w:cs="Arial" w:eastAsia="Times New Roman" w:hAnsi="Arial"/>
          <w:kern w:val="0"/>
          <w:sz w:val="20"/>
          <w:szCs w:val="20"/>
          <w:lang w:val="es-US"/>
        </w:rPr>
        <w:t xml:space="preserve"> -- Recursos para nuevos propietarios de vivienda para mantener una propiedad estable a través de apoyo presupuestario, planificación de mantenimiento y revisiones financieras.</w:t>
      </w:r>
    </w:p>
    <w:p w14:paraId="755C4FC8" w14:textId="77777777" w:rsidP="00C335B7" w:rsidR="00C335B7" w:rsidRDefault="00C335B7" w:rsidRPr="00C335B7">
      <w:pPr>
        <w:numPr>
          <w:ilvl w:val="0"/>
          <w:numId w:val="6"/>
        </w:num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b/>
          <w:bCs/>
          <w:kern w:val="0"/>
          <w:sz w:val="20"/>
          <w:szCs w:val="20"/>
          <w:lang w:val="es-US"/>
        </w:rPr>
        <w:t>Consejería de Recuperación por Desastre</w:t>
      </w:r>
      <w:r w:rsidRPr="00C335B7">
        <w:rPr>
          <w:rFonts w:ascii="Arial" w:cs="Arial" w:eastAsia="Times New Roman" w:hAnsi="Arial"/>
          <w:kern w:val="0"/>
          <w:sz w:val="20"/>
          <w:szCs w:val="20"/>
          <w:lang w:val="es-US"/>
        </w:rPr>
        <w:t xml:space="preserve"> -- Planificación de recuperación a corto y largo plazo para individuos y familias impactados por desastres, incluyendo recuperación de vivienda, seguros y financiera.</w:t>
      </w:r>
    </w:p>
    <w:p w14:paraId="716D95C1" w14:textId="77777777" w:rsidP="00C335B7" w:rsidR="00C335B7" w:rsidRDefault="00C335B7" w:rsidRPr="00C335B7">
      <w:pPr>
        <w:numPr>
          <w:ilvl w:val="0"/>
          <w:numId w:val="6"/>
        </w:num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b/>
          <w:bCs/>
          <w:kern w:val="0"/>
          <w:sz w:val="20"/>
          <w:szCs w:val="20"/>
          <w:lang w:val="es-US"/>
        </w:rPr>
        <w:t>Consejería de Morosidad y Ejecución Hipotecaria</w:t>
      </w:r>
      <w:r w:rsidRPr="00C335B7">
        <w:rPr>
          <w:rFonts w:ascii="Arial" w:cs="Arial" w:eastAsia="Times New Roman" w:hAnsi="Arial"/>
          <w:kern w:val="0"/>
          <w:sz w:val="20"/>
          <w:szCs w:val="20"/>
          <w:lang w:val="es-US"/>
        </w:rPr>
        <w:t xml:space="preserve"> -- Orientación para propietarios de vivienda atrasados en pagos hipotecarios, incluyendo opciones de solución, prevención de ejecución hipotecaria y estrategias de estabilización financiera.</w:t>
      </w:r>
    </w:p>
    <w:p w14:paraId="1416EEBF" w14:textId="77777777" w:rsidP="00C335B7" w:rsidR="00C335B7" w:rsidRDefault="00C335B7" w:rsidRPr="00C335B7">
      <w:pPr>
        <w:numPr>
          <w:ilvl w:val="0"/>
          <w:numId w:val="6"/>
        </w:num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b/>
          <w:bCs/>
          <w:kern w:val="0"/>
          <w:sz w:val="20"/>
          <w:szCs w:val="20"/>
          <w:lang w:val="es-US"/>
        </w:rPr>
        <w:t>Consejería de Incumplimiento de Hipoteca Inversa</w:t>
      </w:r>
      <w:r w:rsidRPr="00C335B7">
        <w:rPr>
          <w:rFonts w:ascii="Arial" w:cs="Arial" w:eastAsia="Times New Roman" w:hAnsi="Arial"/>
          <w:kern w:val="0"/>
          <w:sz w:val="20"/>
          <w:szCs w:val="20"/>
          <w:lang w:val="es-US"/>
        </w:rPr>
        <w:t xml:space="preserve"> -- Apoyo especializado para personas mayores en riesgo de incumplir con una hipoteca inversa debido a impuestos, seguros o cargos de propiedad impagos, con orientación sobre resolución de morosidades y preservación de la propiedad de vivienda.</w:t>
      </w:r>
    </w:p>
    <w:p w14:paraId="4ED1E2F0" w14:textId="77777777" w:rsidP="00C335B7" w:rsidR="00C335B7" w:rsidRDefault="00C335B7" w:rsidRPr="00C335B7">
      <w:pPr>
        <w:numPr>
          <w:ilvl w:val="0"/>
          <w:numId w:val="6"/>
        </w:num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b/>
          <w:bCs/>
          <w:kern w:val="0"/>
          <w:sz w:val="20"/>
          <w:szCs w:val="20"/>
          <w:lang w:val="es-US"/>
        </w:rPr>
        <w:t>Consejería de Morosidad de Alquiler (Rent4Recovery)</w:t>
      </w:r>
      <w:r w:rsidRPr="00C335B7">
        <w:rPr>
          <w:rFonts w:ascii="Arial" w:cs="Arial" w:eastAsia="Times New Roman" w:hAnsi="Arial"/>
          <w:kern w:val="0"/>
          <w:sz w:val="20"/>
          <w:szCs w:val="20"/>
          <w:lang w:val="es-US"/>
        </w:rPr>
        <w:t xml:space="preserve"> -- Apoyo personalizado para inquilinos que están atrasados en el alquiler o enfrentan desalojo, con enfoque en resolver morosidades, entender derechos de inquilinos y conectar con recursos locales y programas de asistencia de alquiler.</w:t>
      </w:r>
    </w:p>
    <w:p w14:paraId="64FBEAF3" w14:textId="77777777" w:rsidP="00C335B7" w:rsidR="00C335B7" w:rsidRDefault="00C335B7" w:rsidRPr="00C335B7">
      <w:pPr>
        <w:numPr>
          <w:ilvl w:val="0"/>
          <w:numId w:val="6"/>
        </w:num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b/>
          <w:bCs/>
          <w:kern w:val="0"/>
          <w:sz w:val="20"/>
          <w:szCs w:val="20"/>
          <w:lang w:val="es-US"/>
        </w:rPr>
        <w:t>Consejería por Falta de Vivienda y Crisis de Vivienda</w:t>
      </w:r>
      <w:r w:rsidRPr="00C335B7">
        <w:rPr>
          <w:rFonts w:ascii="Arial" w:cs="Arial" w:eastAsia="Times New Roman" w:hAnsi="Arial"/>
          <w:kern w:val="0"/>
          <w:sz w:val="20"/>
          <w:szCs w:val="20"/>
          <w:lang w:val="es-US"/>
        </w:rPr>
        <w:t xml:space="preserve"> -- Apoyo para personas que actualmente se encuentran en refugios o vivienda temporal, con enfoque en la obtención de una vivienda estable a largo plazo.</w:t>
      </w:r>
    </w:p>
    <w:p w14:paraId="2F715D58" w14:textId="77777777" w:rsidP="00C335B7" w:rsidR="00C335B7" w:rsidRDefault="00C335B7" w:rsidRPr="00C335B7">
      <w:p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kern w:val="0"/>
          <w:sz w:val="20"/>
          <w:szCs w:val="20"/>
          <w:lang w:val="es-US"/>
        </w:rPr>
        <w:t>Credit.org también proporciona servicios educativos, como talleres educativos grupales que cubren temas como educación financiera y educación para compradores de vivienda. También ofrecemos clases para Compradores de Vivienda por Primera Vez que proporcionan a los consumidores educación integral sobre el proceso de compra. La Academia FIT (</w:t>
      </w:r>
      <w:proofErr w:type="spellStart"/>
      <w:r w:rsidRPr="00C335B7">
        <w:rPr>
          <w:rFonts w:ascii="Arial" w:cs="Arial" w:eastAsia="Times New Roman" w:hAnsi="Arial"/>
          <w:kern w:val="0"/>
          <w:sz w:val="20"/>
          <w:szCs w:val="20"/>
          <w:lang w:val="es-US"/>
        </w:rPr>
        <w:t>Financial</w:t>
      </w:r>
      <w:proofErr w:type="spellEnd"/>
      <w:r w:rsidRPr="00C335B7">
        <w:rPr>
          <w:rFonts w:ascii="Arial" w:cs="Arial" w:eastAsia="Times New Roman" w:hAnsi="Arial"/>
          <w:kern w:val="0"/>
          <w:sz w:val="20"/>
          <w:szCs w:val="20"/>
          <w:lang w:val="es-US"/>
        </w:rPr>
        <w:t xml:space="preserve"> </w:t>
      </w:r>
      <w:proofErr w:type="spellStart"/>
      <w:r w:rsidRPr="00C335B7">
        <w:rPr>
          <w:rFonts w:ascii="Arial" w:cs="Arial" w:eastAsia="Times New Roman" w:hAnsi="Arial"/>
          <w:kern w:val="0"/>
          <w:sz w:val="20"/>
          <w:szCs w:val="20"/>
          <w:lang w:val="es-US"/>
        </w:rPr>
        <w:t>Instructional</w:t>
      </w:r>
      <w:proofErr w:type="spellEnd"/>
      <w:r w:rsidRPr="00C335B7">
        <w:rPr>
          <w:rFonts w:ascii="Arial" w:cs="Arial" w:eastAsia="Times New Roman" w:hAnsi="Arial"/>
          <w:kern w:val="0"/>
          <w:sz w:val="20"/>
          <w:szCs w:val="20"/>
          <w:lang w:val="es-US"/>
        </w:rPr>
        <w:t xml:space="preserve"> Training) de Credit.org es una plataforma gratuita de aprendizaje en línea, a su propio ritmo, que ofrece lecciones financieras disponibles en </w:t>
      </w:r>
      <w:r w:rsidRPr="00C335B7">
        <w:rPr>
          <w:rFonts w:ascii="Arial" w:cs="Arial" w:eastAsia="Times New Roman" w:hAnsi="Arial"/>
          <w:kern w:val="0"/>
          <w:sz w:val="20"/>
          <w:szCs w:val="20"/>
          <w:lang w:val="es-US"/>
        </w:rPr>
        <w:lastRenderedPageBreak/>
        <w:t xml:space="preserve">cualquier momento. FIT permite a los participantes fortalecer sus habilidades de manejo del dinero para lograr una salud financiera a largo plazo. </w:t>
      </w:r>
    </w:p>
    <w:p w14:paraId="2B16D67B" w14:textId="77777777" w:rsidP="00C335B7" w:rsidR="00C335B7" w:rsidRDefault="00C335B7" w:rsidRPr="00C335B7">
      <w:p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kern w:val="0"/>
          <w:sz w:val="20"/>
          <w:szCs w:val="20"/>
          <w:lang w:val="es-US"/>
        </w:rPr>
        <w:t xml:space="preserve">Credit.org colabora con varias organizaciones para mejorar nuestra prestación de servicios y alcanzar más clientes necesitados. Nuestros socios de mercadeo conjunto incluyen </w:t>
      </w:r>
      <w:proofErr w:type="spellStart"/>
      <w:r w:rsidRPr="00C335B7">
        <w:rPr>
          <w:rFonts w:ascii="Arial" w:cs="Arial" w:eastAsia="Times New Roman" w:hAnsi="Arial"/>
          <w:kern w:val="0"/>
          <w:sz w:val="20"/>
          <w:szCs w:val="20"/>
          <w:lang w:val="es-US"/>
        </w:rPr>
        <w:t>Identity</w:t>
      </w:r>
      <w:proofErr w:type="spellEnd"/>
      <w:r w:rsidRPr="00C335B7">
        <w:rPr>
          <w:rFonts w:ascii="Arial" w:cs="Arial" w:eastAsia="Times New Roman" w:hAnsi="Arial"/>
          <w:kern w:val="0"/>
          <w:sz w:val="20"/>
          <w:szCs w:val="20"/>
          <w:lang w:val="es-US"/>
        </w:rPr>
        <w:t xml:space="preserve"> </w:t>
      </w:r>
      <w:proofErr w:type="spellStart"/>
      <w:r w:rsidRPr="00C335B7">
        <w:rPr>
          <w:rFonts w:ascii="Arial" w:cs="Arial" w:eastAsia="Times New Roman" w:hAnsi="Arial"/>
          <w:kern w:val="0"/>
          <w:sz w:val="20"/>
          <w:szCs w:val="20"/>
          <w:lang w:val="es-US"/>
        </w:rPr>
        <w:t>Intelligence</w:t>
      </w:r>
      <w:proofErr w:type="spellEnd"/>
      <w:r w:rsidRPr="00C335B7">
        <w:rPr>
          <w:rFonts w:ascii="Arial" w:cs="Arial" w:eastAsia="Times New Roman" w:hAnsi="Arial"/>
          <w:kern w:val="0"/>
          <w:sz w:val="20"/>
          <w:szCs w:val="20"/>
          <w:lang w:val="es-US"/>
        </w:rPr>
        <w:t xml:space="preserve"> </w:t>
      </w:r>
      <w:proofErr w:type="spellStart"/>
      <w:r w:rsidRPr="00C335B7">
        <w:rPr>
          <w:rFonts w:ascii="Arial" w:cs="Arial" w:eastAsia="Times New Roman" w:hAnsi="Arial"/>
          <w:kern w:val="0"/>
          <w:sz w:val="20"/>
          <w:szCs w:val="20"/>
          <w:lang w:val="es-US"/>
        </w:rPr>
        <w:t>Group</w:t>
      </w:r>
      <w:proofErr w:type="spellEnd"/>
      <w:r w:rsidRPr="00C335B7">
        <w:rPr>
          <w:rFonts w:ascii="Arial" w:cs="Arial" w:eastAsia="Times New Roman" w:hAnsi="Arial"/>
          <w:kern w:val="0"/>
          <w:sz w:val="20"/>
          <w:szCs w:val="20"/>
          <w:lang w:val="es-US"/>
        </w:rPr>
        <w:t xml:space="preserve">, LLC, </w:t>
      </w:r>
      <w:proofErr w:type="spellStart"/>
      <w:r w:rsidRPr="00C335B7">
        <w:rPr>
          <w:rFonts w:ascii="Arial" w:cs="Arial" w:eastAsia="Times New Roman" w:hAnsi="Arial"/>
          <w:kern w:val="0"/>
          <w:sz w:val="20"/>
          <w:szCs w:val="20"/>
          <w:lang w:val="es-US"/>
        </w:rPr>
        <w:t>Credit</w:t>
      </w:r>
      <w:proofErr w:type="spellEnd"/>
      <w:r w:rsidRPr="00C335B7">
        <w:rPr>
          <w:rFonts w:ascii="Arial" w:cs="Arial" w:eastAsia="Times New Roman" w:hAnsi="Arial"/>
          <w:kern w:val="0"/>
          <w:sz w:val="20"/>
          <w:szCs w:val="20"/>
          <w:lang w:val="es-US"/>
        </w:rPr>
        <w:t xml:space="preserve"> </w:t>
      </w:r>
      <w:proofErr w:type="spellStart"/>
      <w:r w:rsidRPr="00C335B7">
        <w:rPr>
          <w:rFonts w:ascii="Arial" w:cs="Arial" w:eastAsia="Times New Roman" w:hAnsi="Arial"/>
          <w:kern w:val="0"/>
          <w:sz w:val="20"/>
          <w:szCs w:val="20"/>
          <w:lang w:val="es-US"/>
        </w:rPr>
        <w:t>Swag</w:t>
      </w:r>
      <w:proofErr w:type="spellEnd"/>
      <w:r w:rsidRPr="00C335B7">
        <w:rPr>
          <w:rFonts w:ascii="Arial" w:cs="Arial" w:eastAsia="Times New Roman" w:hAnsi="Arial"/>
          <w:kern w:val="0"/>
          <w:sz w:val="20"/>
          <w:szCs w:val="20"/>
          <w:lang w:val="es-US"/>
        </w:rPr>
        <w:t xml:space="preserve"> Ventures, Inc. </w:t>
      </w:r>
      <w:proofErr w:type="spellStart"/>
      <w:r w:rsidRPr="00C335B7">
        <w:rPr>
          <w:rFonts w:ascii="Arial" w:cs="Arial" w:eastAsia="Times New Roman" w:hAnsi="Arial"/>
          <w:kern w:val="0"/>
          <w:sz w:val="20"/>
          <w:szCs w:val="20"/>
          <w:lang w:val="es-US"/>
        </w:rPr>
        <w:t>dba</w:t>
      </w:r>
      <w:proofErr w:type="spellEnd"/>
      <w:r w:rsidRPr="00C335B7">
        <w:rPr>
          <w:rFonts w:ascii="Arial" w:cs="Arial" w:eastAsia="Times New Roman" w:hAnsi="Arial"/>
          <w:kern w:val="0"/>
          <w:sz w:val="20"/>
          <w:szCs w:val="20"/>
          <w:lang w:val="es-US"/>
        </w:rPr>
        <w:t xml:space="preserve"> </w:t>
      </w:r>
      <w:hyperlink r:id="rId7" w:history="1">
        <w:r w:rsidRPr="00C335B7">
          <w:rPr>
            <w:rStyle w:val="Hyperlink"/>
            <w:rFonts w:ascii="Arial" w:cs="Arial" w:eastAsia="Times New Roman" w:hAnsi="Arial"/>
            <w:kern w:val="0"/>
            <w:sz w:val="20"/>
            <w:szCs w:val="20"/>
            <w:lang w:val="es-US"/>
          </w:rPr>
          <w:t>Creditanddebt.org</w:t>
        </w:r>
      </w:hyperlink>
      <w:r w:rsidRPr="00C335B7">
        <w:rPr>
          <w:rFonts w:ascii="Arial" w:cs="Arial" w:hAnsi="Arial"/>
          <w:sz w:val="20"/>
          <w:szCs w:val="20"/>
          <w:lang w:val="es-US"/>
        </w:rPr>
        <w:t xml:space="preserve">, y </w:t>
      </w:r>
      <w:proofErr w:type="spellStart"/>
      <w:r w:rsidRPr="00C335B7">
        <w:rPr>
          <w:rFonts w:ascii="Arial" w:cs="Arial" w:hAnsi="Arial"/>
          <w:sz w:val="20"/>
          <w:szCs w:val="20"/>
          <w:lang w:val="es-US"/>
        </w:rPr>
        <w:t>Consumer</w:t>
      </w:r>
      <w:proofErr w:type="spellEnd"/>
      <w:r w:rsidRPr="00C335B7">
        <w:rPr>
          <w:rFonts w:ascii="Arial" w:cs="Arial" w:hAnsi="Arial"/>
          <w:sz w:val="20"/>
          <w:szCs w:val="20"/>
          <w:lang w:val="es-US"/>
        </w:rPr>
        <w:t xml:space="preserve"> </w:t>
      </w:r>
      <w:proofErr w:type="spellStart"/>
      <w:r w:rsidRPr="00C335B7">
        <w:rPr>
          <w:rFonts w:ascii="Arial" w:cs="Arial" w:hAnsi="Arial"/>
          <w:sz w:val="20"/>
          <w:szCs w:val="20"/>
          <w:lang w:val="es-US"/>
        </w:rPr>
        <w:t>Credit</w:t>
      </w:r>
      <w:proofErr w:type="spellEnd"/>
      <w:r w:rsidRPr="00C335B7">
        <w:rPr>
          <w:rFonts w:ascii="Arial" w:cs="Arial" w:hAnsi="Arial"/>
          <w:sz w:val="20"/>
          <w:szCs w:val="20"/>
          <w:lang w:val="es-US"/>
        </w:rPr>
        <w:t xml:space="preserve"> </w:t>
      </w:r>
      <w:proofErr w:type="spellStart"/>
      <w:r w:rsidRPr="00C335B7">
        <w:rPr>
          <w:rFonts w:ascii="Arial" w:cs="Arial" w:hAnsi="Arial"/>
          <w:sz w:val="20"/>
          <w:szCs w:val="20"/>
          <w:lang w:val="es-US"/>
        </w:rPr>
        <w:t>Counseling</w:t>
      </w:r>
      <w:proofErr w:type="spellEnd"/>
      <w:r w:rsidRPr="00C335B7">
        <w:rPr>
          <w:rFonts w:ascii="Arial" w:cs="Arial" w:hAnsi="Arial"/>
          <w:sz w:val="20"/>
          <w:szCs w:val="20"/>
          <w:lang w:val="es-US"/>
        </w:rPr>
        <w:t xml:space="preserve"> </w:t>
      </w:r>
      <w:proofErr w:type="spellStart"/>
      <w:r w:rsidRPr="00C335B7">
        <w:rPr>
          <w:rFonts w:ascii="Arial" w:cs="Arial" w:hAnsi="Arial"/>
          <w:sz w:val="20"/>
          <w:szCs w:val="20"/>
          <w:lang w:val="es-US"/>
        </w:rPr>
        <w:t>Service</w:t>
      </w:r>
      <w:proofErr w:type="spellEnd"/>
      <w:r w:rsidRPr="00C335B7">
        <w:rPr>
          <w:rFonts w:ascii="Arial" w:cs="Arial" w:hAnsi="Arial"/>
          <w:sz w:val="20"/>
          <w:szCs w:val="20"/>
          <w:lang w:val="es-US"/>
        </w:rPr>
        <w:t xml:space="preserve"> </w:t>
      </w:r>
      <w:proofErr w:type="spellStart"/>
      <w:r w:rsidRPr="00C335B7">
        <w:rPr>
          <w:rFonts w:ascii="Arial" w:cs="Arial" w:hAnsi="Arial"/>
          <w:sz w:val="20"/>
          <w:szCs w:val="20"/>
          <w:lang w:val="es-US"/>
        </w:rPr>
        <w:t>of</w:t>
      </w:r>
      <w:proofErr w:type="spellEnd"/>
      <w:r w:rsidRPr="00C335B7">
        <w:rPr>
          <w:rFonts w:ascii="Arial" w:cs="Arial" w:hAnsi="Arial"/>
          <w:sz w:val="20"/>
          <w:szCs w:val="20"/>
          <w:lang w:val="es-US"/>
        </w:rPr>
        <w:t xml:space="preserve"> San Francisco (</w:t>
      </w:r>
      <w:proofErr w:type="spellStart"/>
      <w:r w:rsidRPr="00C335B7">
        <w:rPr>
          <w:rFonts w:ascii="Arial" w:cs="Arial" w:hAnsi="Arial"/>
          <w:sz w:val="20"/>
          <w:szCs w:val="20"/>
          <w:lang w:val="es-US"/>
        </w:rPr>
        <w:t>dba</w:t>
      </w:r>
      <w:proofErr w:type="spellEnd"/>
      <w:r w:rsidRPr="00C335B7">
        <w:rPr>
          <w:rFonts w:ascii="Arial" w:cs="Arial" w:hAnsi="Arial"/>
          <w:sz w:val="20"/>
          <w:szCs w:val="20"/>
          <w:lang w:val="es-US"/>
        </w:rPr>
        <w:t xml:space="preserve"> Balance)</w:t>
      </w:r>
      <w:r w:rsidRPr="00C335B7">
        <w:rPr>
          <w:rFonts w:ascii="Arial" w:cs="Arial" w:eastAsia="Times New Roman" w:hAnsi="Arial"/>
          <w:kern w:val="0"/>
          <w:sz w:val="20"/>
          <w:szCs w:val="20"/>
          <w:lang w:val="es-US"/>
        </w:rPr>
        <w:t>.</w:t>
      </w:r>
    </w:p>
    <w:p w14:paraId="262EFA89" w14:textId="77777777" w:rsidP="00C335B7" w:rsidR="00C335B7" w:rsidRDefault="00C335B7" w:rsidRPr="00C335B7">
      <w:p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kern w:val="0"/>
          <w:sz w:val="20"/>
          <w:szCs w:val="20"/>
          <w:lang w:val="es-US"/>
        </w:rPr>
        <w:t>Como cliente de consejería, usted no está obligado a participar en ninguno de estos servicios. Usted tiene derecho a elegir cualquier servicio y/o producto que mejor satisfaga sus necesidades. Podemos proporcionar información sobre servicios, programas y productos alternativos disponibles para usted, si son aplicables y conocidos por nuestro personal.</w:t>
      </w:r>
    </w:p>
    <w:p w14:paraId="734E290A" w14:textId="77777777" w:rsidP="00C335B7" w:rsidR="00C335B7" w:rsidRDefault="00C335B7" w:rsidRPr="00C335B7">
      <w:p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kern w:val="0"/>
          <w:sz w:val="20"/>
          <w:szCs w:val="20"/>
          <w:lang w:val="es-US"/>
        </w:rPr>
        <w:t xml:space="preserve">Nuestros servicios son financiados a través de donaciones y subvenciones de varias fuentes, incluyendo prestamistas hipotecarios, administradores de servicios, agencias gubernamentales, administradores de programas y otorgantes como el Departamento de Vivienda y Desarrollo Urbano de los Estados Unidos, así como otras organizaciones sin fines de lucro y con fines de lucro. En algunos casos, podemos recibir una tarifa de un prestamista hipotecario, administrador de servicios o uno de nuestros socios de la industria por servicios que proporcionamos, como Bank </w:t>
      </w:r>
      <w:proofErr w:type="spellStart"/>
      <w:r w:rsidRPr="00C335B7">
        <w:rPr>
          <w:rFonts w:ascii="Arial" w:cs="Arial" w:eastAsia="Times New Roman" w:hAnsi="Arial"/>
          <w:kern w:val="0"/>
          <w:sz w:val="20"/>
          <w:szCs w:val="20"/>
          <w:lang w:val="es-US"/>
        </w:rPr>
        <w:t>of</w:t>
      </w:r>
      <w:proofErr w:type="spellEnd"/>
      <w:r w:rsidRPr="00C335B7">
        <w:rPr>
          <w:rFonts w:ascii="Arial" w:cs="Arial" w:eastAsia="Times New Roman" w:hAnsi="Arial"/>
          <w:kern w:val="0"/>
          <w:sz w:val="20"/>
          <w:szCs w:val="20"/>
          <w:lang w:val="es-US"/>
        </w:rPr>
        <w:t xml:space="preserve"> </w:t>
      </w:r>
      <w:proofErr w:type="spellStart"/>
      <w:r w:rsidRPr="00C335B7">
        <w:rPr>
          <w:rFonts w:ascii="Arial" w:cs="Arial" w:eastAsia="Times New Roman" w:hAnsi="Arial"/>
          <w:kern w:val="0"/>
          <w:sz w:val="20"/>
          <w:szCs w:val="20"/>
          <w:lang w:val="es-US"/>
        </w:rPr>
        <w:t>America</w:t>
      </w:r>
      <w:proofErr w:type="spellEnd"/>
      <w:r w:rsidRPr="00C335B7">
        <w:rPr>
          <w:rFonts w:ascii="Arial" w:cs="Arial" w:eastAsia="Times New Roman" w:hAnsi="Arial"/>
          <w:kern w:val="0"/>
          <w:sz w:val="20"/>
          <w:szCs w:val="20"/>
          <w:lang w:val="es-US"/>
        </w:rPr>
        <w:t xml:space="preserve"> y Federal Home Loan Bank.</w:t>
      </w:r>
    </w:p>
    <w:p w14:paraId="18896B95" w14:textId="77777777" w:rsidP="00C335B7" w:rsidR="00C335B7" w:rsidRDefault="00C335B7" w:rsidRPr="00C335B7">
      <w:p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kern w:val="0"/>
          <w:sz w:val="20"/>
          <w:szCs w:val="20"/>
          <w:lang w:val="es-US"/>
        </w:rPr>
        <w:t>Durante su sesión de consejería, revisaremos su situación financiera y de vivienda actual, crearemos un presupuesto personalizado y proporcionaremos un Plan de Acción del Cliente con recursos y recomendaciones personalizadas.</w:t>
      </w:r>
    </w:p>
    <w:p w14:paraId="6AF0EBD9" w14:textId="77777777" w:rsidP="00C335B7" w:rsidR="00C335B7" w:rsidRDefault="00C335B7" w:rsidRPr="00C335B7">
      <w:p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kern w:val="0"/>
          <w:sz w:val="20"/>
          <w:szCs w:val="20"/>
          <w:lang w:val="es-US"/>
        </w:rPr>
        <w:t>Como usted puede saber, la consejería de hipoteca inversa es un paso obligatorio para cualquier persona que busque un préstamo de hipoteca inversa, y debe completarse antes de que usted incurra en cualquier costo relacionado con el préstamo. Después de la sesión, usted recibirá un Certificado de Consejería, el cual será válido por seis meses. Tenga en cuenta que Credit.org no promueve, respalda ni recomienda ningún producto específico de hipoteca inversa o prestamistas.</w:t>
      </w:r>
    </w:p>
    <w:p w14:paraId="3794D0EE" w14:textId="77777777" w:rsidP="00C335B7" w:rsidR="00C335B7" w:rsidRDefault="00C335B7" w:rsidRPr="00C335B7">
      <w:p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kern w:val="0"/>
          <w:sz w:val="20"/>
          <w:szCs w:val="20"/>
          <w:lang w:val="es-US"/>
        </w:rPr>
        <w:t xml:space="preserve">Aunque cobramos una tarifa nominal por ciertos servicios, usted no </w:t>
      </w:r>
      <w:proofErr w:type="spellStart"/>
      <w:r w:rsidRPr="00C335B7">
        <w:rPr>
          <w:rFonts w:ascii="Arial" w:cs="Arial" w:eastAsia="Times New Roman" w:hAnsi="Arial"/>
          <w:kern w:val="0"/>
          <w:sz w:val="20"/>
          <w:szCs w:val="20"/>
          <w:lang w:val="es-US"/>
        </w:rPr>
        <w:t>esta</w:t>
      </w:r>
      <w:proofErr w:type="spellEnd"/>
      <w:r w:rsidRPr="00C335B7">
        <w:rPr>
          <w:rFonts w:ascii="Arial" w:cs="Arial" w:eastAsia="Times New Roman" w:hAnsi="Arial"/>
          <w:kern w:val="0"/>
          <w:sz w:val="20"/>
          <w:szCs w:val="20"/>
          <w:lang w:val="es-US"/>
        </w:rPr>
        <w:t xml:space="preserve"> obligado a recibir servicios de Credit.org ni de nuestros socios. Si el costo representa una dificultad económica, los gerentes pueden reducir o eximir dicha tarifa. Para más información, consulte el calendario de tarifas. También puede optar por explorar otras agencias sin fines de lucro, como la NFCC o la FCAA, para recibir apoyo adicional. </w:t>
      </w:r>
    </w:p>
    <w:p w14:paraId="631FFFEB" w14:textId="77777777" w:rsidP="00C335B7" w:rsidR="00C335B7" w:rsidRDefault="00C335B7" w:rsidRPr="00C335B7">
      <w:p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kern w:val="0"/>
          <w:sz w:val="20"/>
          <w:szCs w:val="20"/>
          <w:lang w:val="es-US"/>
        </w:rPr>
        <w:t>Tenga en cuenta que no podemos ofrecer asesoramiento legal o fiscal; para esas necesidades, recomendamos consultar con un profesional licenciado.</w:t>
      </w:r>
    </w:p>
    <w:p w14:paraId="5DA9C2D2" w14:textId="77777777" w:rsidP="00C335B7" w:rsidR="00C335B7" w:rsidRDefault="00C335B7" w:rsidRPr="00C335B7">
      <w:pPr>
        <w:jc w:val="both"/>
        <w:rPr>
          <w:rFonts w:ascii="Arial" w:cs="Arial" w:hAnsi="Arial"/>
          <w:b/>
          <w:bCs/>
          <w:sz w:val="20"/>
          <w:szCs w:val="20"/>
          <w:lang w:val="es-US"/>
        </w:rPr>
      </w:pPr>
      <w:r w:rsidRPr="00C335B7">
        <w:rPr>
          <w:rFonts w:ascii="Arial" w:cs="Arial" w:hAnsi="Arial"/>
          <w:b/>
          <w:bCs/>
          <w:sz w:val="20"/>
          <w:szCs w:val="20"/>
          <w:lang w:val="es-US"/>
        </w:rPr>
        <w:t>Declaración de Privacidad</w:t>
      </w:r>
    </w:p>
    <w:p w14:paraId="54A3D412" w14:textId="77777777" w:rsidP="00C335B7" w:rsidR="00C335B7" w:rsidRDefault="00C335B7" w:rsidRPr="00C335B7">
      <w:pPr>
        <w:spacing w:after="100" w:afterAutospacing="1" w:before="100" w:beforeAutospacing="1" w:line="240" w:lineRule="auto"/>
        <w:jc w:val="both"/>
        <w:rPr>
          <w:rFonts w:ascii="Arial" w:cs="Arial" w:eastAsia="Times New Roman" w:hAnsi="Arial"/>
          <w:kern w:val="0"/>
          <w:sz w:val="20"/>
          <w:szCs w:val="20"/>
          <w:lang w:val="es-US"/>
        </w:rPr>
      </w:pPr>
      <w:r w:rsidRPr="00C335B7">
        <w:rPr>
          <w:rFonts w:ascii="Arial" w:cs="Arial" w:eastAsia="Times New Roman" w:hAnsi="Arial"/>
          <w:kern w:val="0"/>
          <w:sz w:val="20"/>
          <w:szCs w:val="20"/>
          <w:lang w:val="es-US"/>
        </w:rPr>
        <w:t>En Credit.org, su privacidad es nuestra prioridad. Nunca vendemos su información, pero podemos compartirla con organizaciones de financiamiento o compañías que apoyan nuestras operaciones diarias. Usted recibirá una copia de nuestra política de privacidad completa después de su sesión.</w:t>
      </w:r>
    </w:p>
    <w:p w14:paraId="0C71E6C7" w14:textId="77777777" w:rsidP="000B68E9" w:rsidR="000B68E9" w:rsidRDefault="000B68E9" w:rsidRPr="00C335B7">
      <w:pPr>
        <w:spacing w:after="100" w:afterAutospacing="1" w:before="100" w:beforeAutospacing="1" w:line="240" w:lineRule="auto"/>
        <w:jc w:val="both"/>
        <w:rPr>
          <w:rFonts w:ascii="Arial" w:cs="Arial" w:eastAsia="Times New Roman" w:hAnsi="Arial"/>
          <w:kern w:val="0"/>
          <w:sz w:val="20"/>
          <w:szCs w:val="20"/>
          <w:lang w:val="es-US"/>
        </w:rPr>
      </w:pPr>
    </w:p>
    <w:p w14:paraId="3E00F079" w14:textId="77777777" w:rsidP="000B68E9" w:rsidR="000B68E9" w:rsidRDefault="000B68E9" w:rsidRPr="00C335B7">
      <w:pPr>
        <w:spacing w:after="100" w:afterAutospacing="1" w:before="100" w:beforeAutospacing="1" w:line="240" w:lineRule="auto"/>
        <w:jc w:val="both"/>
        <w:rPr>
          <w:rFonts w:ascii="Arial" w:cs="Arial" w:eastAsia="Times New Roman" w:hAnsi="Arial"/>
          <w:kern w:val="0"/>
          <w:sz w:val="20"/>
          <w:szCs w:val="20"/>
          <w:lang w:val="es-US"/>
        </w:rPr>
      </w:pPr>
    </w:p>
    <w:p w14:paraId="6E46CF85" w14:textId="77777777" w:rsidP="0024661A" w:rsidR="002E7286" w:rsidRDefault="002E7286" w:rsidRPr="00C335B7">
      <w:pPr>
        <w:jc w:val="center"/>
        <w:rPr>
          <w:rFonts w:ascii="Arial" w:cs="Arial" w:hAnsi="Arial"/>
          <w:b/>
          <w:bCs/>
          <w:sz w:val="20"/>
          <w:szCs w:val="20"/>
          <w:lang w:val="es-US"/>
        </w:rPr>
      </w:pPr>
    </w:p>
    <w:p w14:paraId="1369A391" w14:textId="51CADB2B" w:rsidP="0024661A" w:rsidR="0024661A" w:rsidRDefault="0024661A" w:rsidRPr="00C335B7">
      <w:pPr>
        <w:jc w:val="center"/>
        <w:rPr>
          <w:rFonts w:ascii="Arial" w:cs="Arial" w:hAnsi="Arial"/>
          <w:b/>
          <w:bCs/>
          <w:sz w:val="20"/>
          <w:szCs w:val="20"/>
          <w:lang w:val="es-US"/>
        </w:rPr>
      </w:pPr>
      <w:r w:rsidRPr="00C335B7">
        <w:rPr>
          <w:rFonts w:ascii="Arial" w:cs="Arial" w:hAnsi="Arial"/>
          <w:b/>
          <w:bCs/>
          <w:sz w:val="20"/>
          <w:szCs w:val="20"/>
          <w:lang w:val="es-US"/>
        </w:rPr>
        <w:lastRenderedPageBreak/>
        <w:t>CLIENT AUTHORIZATION</w:t>
      </w:r>
    </w:p>
    <w:p w14:paraId="56B4B662" w14:textId="77777777" w:rsidP="0024661A" w:rsidR="0024661A" w:rsidRDefault="0024661A" w:rsidRPr="00C335B7">
      <w:pPr>
        <w:pStyle w:val="BodyText"/>
        <w:jc w:val="both"/>
        <w:rPr>
          <w:rFonts w:ascii="Arial" w:cs="Arial" w:hAnsi="Arial"/>
          <w:color w:val="1F2023"/>
          <w:sz w:val="20"/>
          <w:szCs w:val="20"/>
          <w:lang w:val="es-US"/>
        </w:rPr>
      </w:pPr>
      <w:proofErr w:type="spellStart"/>
      <w:r w:rsidRPr="00C335B7">
        <w:rPr>
          <w:rFonts w:ascii="Arial" w:cs="Arial" w:hAnsi="Arial"/>
          <w:color w:val="1F2023"/>
          <w:sz w:val="20"/>
          <w:szCs w:val="20"/>
          <w:lang w:val="es-US"/>
        </w:rPr>
        <w:t>Springboard</w:t>
      </w:r>
      <w:proofErr w:type="spellEnd"/>
      <w:r w:rsidRPr="00C335B7">
        <w:rPr>
          <w:rFonts w:ascii="Arial" w:cs="Arial" w:hAnsi="Arial"/>
          <w:color w:val="1F2023"/>
          <w:sz w:val="20"/>
          <w:szCs w:val="20"/>
          <w:lang w:val="es-US"/>
        </w:rPr>
        <w:t xml:space="preserve"> </w:t>
      </w:r>
      <w:proofErr w:type="spellStart"/>
      <w:r w:rsidRPr="00C335B7">
        <w:rPr>
          <w:rFonts w:ascii="Arial" w:cs="Arial" w:hAnsi="Arial"/>
          <w:color w:val="1F2023"/>
          <w:sz w:val="20"/>
          <w:szCs w:val="20"/>
          <w:lang w:val="es-US"/>
        </w:rPr>
        <w:t>Nonprofit</w:t>
      </w:r>
      <w:proofErr w:type="spellEnd"/>
      <w:r w:rsidRPr="00C335B7">
        <w:rPr>
          <w:rFonts w:ascii="Arial" w:cs="Arial" w:hAnsi="Arial"/>
          <w:color w:val="1F2023"/>
          <w:sz w:val="20"/>
          <w:szCs w:val="20"/>
          <w:lang w:val="es-US"/>
        </w:rPr>
        <w:t xml:space="preserve"> </w:t>
      </w:r>
      <w:proofErr w:type="spellStart"/>
      <w:r w:rsidRPr="00C335B7">
        <w:rPr>
          <w:rFonts w:ascii="Arial" w:cs="Arial" w:hAnsi="Arial"/>
          <w:color w:val="1F2023"/>
          <w:sz w:val="20"/>
          <w:szCs w:val="20"/>
          <w:lang w:val="es-US"/>
        </w:rPr>
        <w:t>Consumer</w:t>
      </w:r>
      <w:proofErr w:type="spellEnd"/>
      <w:r w:rsidRPr="00C335B7">
        <w:rPr>
          <w:rFonts w:ascii="Arial" w:cs="Arial" w:hAnsi="Arial"/>
          <w:color w:val="1F2023"/>
          <w:sz w:val="20"/>
          <w:szCs w:val="20"/>
          <w:lang w:val="es-US"/>
        </w:rPr>
        <w:t xml:space="preserve"> </w:t>
      </w:r>
      <w:proofErr w:type="spellStart"/>
      <w:r w:rsidRPr="00C335B7">
        <w:rPr>
          <w:rFonts w:ascii="Arial" w:cs="Arial" w:hAnsi="Arial"/>
          <w:color w:val="1F2023"/>
          <w:sz w:val="20"/>
          <w:szCs w:val="20"/>
          <w:lang w:val="es-US"/>
        </w:rPr>
        <w:t>Credit</w:t>
      </w:r>
      <w:proofErr w:type="spellEnd"/>
      <w:r w:rsidRPr="00C335B7">
        <w:rPr>
          <w:rFonts w:ascii="Arial" w:cs="Arial" w:hAnsi="Arial"/>
          <w:color w:val="1F2023"/>
          <w:sz w:val="20"/>
          <w:szCs w:val="20"/>
          <w:lang w:val="es-US"/>
        </w:rPr>
        <w:t xml:space="preserve"> Management, Inc., operando bajo el nombre Credit.org, es una organización sin fines de lucro dedicada a proporcionar educación financiera, asesoramiento confidencial, y programas de alivio de deudas a todos los segmentos de la sociedad. Los servicios están disponibles para cualquier miembro de la comunidad sin importar raza, religión, origen nacional, genero, posición social, discapacidad, estado financiero o capacidad de pago. Toda la información de los clientes se mantiene en estricta confidencialidad.</w:t>
      </w:r>
    </w:p>
    <w:p w14:paraId="6DC5BD18" w14:textId="77777777" w:rsidP="0024661A" w:rsidR="0024661A" w:rsidRDefault="0024661A" w:rsidRPr="00C335B7">
      <w:pPr>
        <w:pStyle w:val="BodyText"/>
        <w:jc w:val="both"/>
        <w:rPr>
          <w:rFonts w:ascii="Arial" w:cs="Arial" w:hAnsi="Arial"/>
          <w:sz w:val="20"/>
          <w:szCs w:val="20"/>
          <w:lang w:val="es-US"/>
        </w:rPr>
      </w:pPr>
    </w:p>
    <w:p w14:paraId="55F42659" w14:textId="77777777" w:rsidP="0024661A" w:rsidR="0024661A" w:rsidRDefault="0024661A" w:rsidRPr="00C335B7">
      <w:pPr>
        <w:jc w:val="both"/>
        <w:rPr>
          <w:rFonts w:ascii="Arial" w:cs="Arial" w:hAnsi="Arial"/>
          <w:b/>
          <w:bCs/>
          <w:sz w:val="20"/>
          <w:szCs w:val="20"/>
          <w:lang w:val="es-US"/>
        </w:rPr>
      </w:pPr>
      <w:r w:rsidRPr="00C335B7">
        <w:rPr>
          <w:rFonts w:ascii="Arial" w:cs="Arial" w:hAnsi="Arial"/>
          <w:noProof/>
          <w:sz w:val="20"/>
          <w:szCs w:val="20"/>
          <w:lang w:val="es-US"/>
        </w:rPr>
        <mc:AlternateContent>
          <mc:Choice Requires="wps">
            <w:drawing>
              <wp:anchor allowOverlap="1" behindDoc="0" distB="0" distL="114300" distR="114300" distT="0" layoutInCell="1" locked="0" relativeHeight="251658752" simplePos="0" wp14:anchorId="53B72429" wp14:editId="33F31894">
                <wp:simplePos x="0" y="0"/>
                <wp:positionH relativeFrom="column">
                  <wp:posOffset>2192655</wp:posOffset>
                </wp:positionH>
                <wp:positionV relativeFrom="paragraph">
                  <wp:posOffset>139700</wp:posOffset>
                </wp:positionV>
                <wp:extent cx="3886200" cy="0"/>
                <wp:effectExtent b="0" l="0" r="0" t="0"/>
                <wp:wrapNone/>
                <wp:docPr id="1752647215" name="Straight Connector 2"/>
                <wp:cNvGraphicFramePr/>
                <a:graphic xmlns:a="http://schemas.openxmlformats.org/drawingml/2006/main">
                  <a:graphicData uri="http://schemas.microsoft.com/office/word/2010/wordprocessingShape">
                    <wps:wsp>
                      <wps:cNvCnPr/>
                      <wps:spPr>
                        <a:xfrm>
                          <a:off x="0" y="0"/>
                          <a:ext cx="3886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Pr="00C335B7">
        <w:rPr>
          <w:rFonts w:ascii="Arial" w:cs="Arial" w:hAnsi="Arial"/>
          <w:b/>
          <w:bCs/>
          <w:sz w:val="20"/>
          <w:szCs w:val="20"/>
          <w:lang w:val="es-US"/>
        </w:rPr>
        <w:t>Nombre(s) en letra de imprenta</w:t>
      </w:r>
      <w:r w:rsidRPr="00C335B7">
        <w:rPr>
          <w:rFonts w:ascii="Arial" w:cs="Arial" w:hAnsi="Arial"/>
          <w:b/>
          <w:bCs/>
          <w:spacing w:val="-2"/>
          <w:sz w:val="20"/>
          <w:szCs w:val="20"/>
          <w:lang w:val="es-US"/>
        </w:rPr>
        <w:t>:</w:t>
      </w:r>
    </w:p>
    <w:p w14:paraId="126FFC13" w14:textId="77777777" w:rsidP="0024661A" w:rsidR="0024661A" w:rsidRDefault="0024661A" w:rsidRPr="00C335B7">
      <w:pPr>
        <w:pStyle w:val="BodyText"/>
        <w:spacing w:after="240" w:line="290" w:lineRule="exact"/>
        <w:jc w:val="both"/>
        <w:rPr>
          <w:rFonts w:ascii="Arial" w:cs="Arial" w:hAnsi="Arial"/>
          <w:b/>
          <w:bCs/>
          <w:color w:val="000000"/>
          <w:sz w:val="20"/>
          <w:szCs w:val="20"/>
          <w:lang w:val="es-US"/>
        </w:rPr>
      </w:pPr>
      <w:r w:rsidRPr="00C335B7">
        <w:rPr>
          <w:rFonts w:ascii="Arial" w:cs="Arial" w:hAnsi="Arial"/>
          <w:b/>
          <w:bCs/>
          <w:color w:val="1F2023"/>
          <w:w w:val="105"/>
          <w:sz w:val="20"/>
          <w:szCs w:val="20"/>
          <w:lang w:val="es-US"/>
        </w:rPr>
        <w:t>Yo/</w:t>
      </w:r>
      <w:proofErr w:type="gramStart"/>
      <w:r w:rsidRPr="00C335B7">
        <w:rPr>
          <w:rFonts w:ascii="Arial" w:cs="Arial" w:hAnsi="Arial"/>
          <w:b/>
          <w:bCs/>
          <w:color w:val="1F2023"/>
          <w:w w:val="105"/>
          <w:sz w:val="20"/>
          <w:szCs w:val="20"/>
          <w:lang w:val="es-US"/>
        </w:rPr>
        <w:t>Nosotros autorizo</w:t>
      </w:r>
      <w:proofErr w:type="gramEnd"/>
      <w:r w:rsidRPr="00C335B7">
        <w:rPr>
          <w:rFonts w:ascii="Arial" w:cs="Arial" w:hAnsi="Arial"/>
          <w:b/>
          <w:bCs/>
          <w:color w:val="1F2023"/>
          <w:w w:val="105"/>
          <w:sz w:val="20"/>
          <w:szCs w:val="20"/>
          <w:lang w:val="es-US"/>
        </w:rPr>
        <w:t>/autorizamos a Credit.org a</w:t>
      </w:r>
      <w:r w:rsidRPr="00C335B7">
        <w:rPr>
          <w:rFonts w:ascii="Arial" w:cs="Arial" w:hAnsi="Arial"/>
          <w:b/>
          <w:bCs/>
          <w:color w:val="1F2023"/>
          <w:spacing w:val="-5"/>
          <w:w w:val="105"/>
          <w:sz w:val="20"/>
          <w:szCs w:val="20"/>
          <w:lang w:val="es-US"/>
        </w:rPr>
        <w:t>:</w:t>
      </w:r>
    </w:p>
    <w:p w14:paraId="5E66A1E7" w14:textId="77777777" w:rsidP="00DA5FEC" w:rsidR="00DA5FEC" w:rsidRDefault="00DA5FEC" w:rsidRPr="00C335B7">
      <w:pPr>
        <w:pStyle w:val="BodyText"/>
        <w:numPr>
          <w:ilvl w:val="0"/>
          <w:numId w:val="7"/>
        </w:numPr>
        <w:tabs>
          <w:tab w:pos="189" w:val="left"/>
        </w:tabs>
        <w:ind w:hanging="180" w:left="180"/>
        <w:jc w:val="both"/>
        <w:rPr>
          <w:rFonts w:ascii="Arial" w:cs="Arial" w:hAnsi="Arial"/>
          <w:color w:val="000000"/>
          <w:sz w:val="20"/>
          <w:szCs w:val="20"/>
          <w:lang w:val="es-US"/>
        </w:rPr>
      </w:pPr>
      <w:r w:rsidRPr="00C335B7">
        <w:rPr>
          <w:rFonts w:ascii="Arial" w:cs="Arial" w:hAnsi="Arial"/>
          <w:color w:val="1F2023"/>
          <w:w w:val="105"/>
          <w:sz w:val="20"/>
          <w:szCs w:val="20"/>
          <w:lang w:val="es-US"/>
        </w:rPr>
        <w:t>Proporcionar asesoramiento y educación sobre cualquier servicio ofrecido por Credit.org.</w:t>
      </w:r>
    </w:p>
    <w:p w14:paraId="1A709D57" w14:textId="77777777" w:rsidP="00DA5FEC" w:rsidR="00DA5FEC" w:rsidRDefault="00DA5FEC" w:rsidRPr="00C335B7">
      <w:pPr>
        <w:pStyle w:val="BodyText"/>
        <w:numPr>
          <w:ilvl w:val="0"/>
          <w:numId w:val="7"/>
        </w:numPr>
        <w:tabs>
          <w:tab w:pos="189" w:val="left"/>
        </w:tabs>
        <w:ind w:hanging="180" w:left="180"/>
        <w:jc w:val="both"/>
        <w:rPr>
          <w:rFonts w:ascii="Arial" w:cs="Arial" w:hAnsi="Arial"/>
          <w:color w:val="000000"/>
          <w:sz w:val="20"/>
          <w:szCs w:val="20"/>
          <w:lang w:val="es-US"/>
        </w:rPr>
      </w:pPr>
      <w:r w:rsidRPr="00C335B7">
        <w:rPr>
          <w:rFonts w:ascii="Arial" w:cs="Arial" w:hAnsi="Arial"/>
          <w:color w:val="1F2023"/>
          <w:w w:val="105"/>
          <w:sz w:val="20"/>
          <w:szCs w:val="20"/>
          <w:lang w:val="es-US"/>
        </w:rPr>
        <w:t xml:space="preserve">Revisar mi/nuestro presupuesto, incluyendo la información de ingresos y los gastos mensuales. </w:t>
      </w:r>
    </w:p>
    <w:p w14:paraId="5EB52FEE" w14:textId="77777777" w:rsidP="00DA5FEC" w:rsidR="00DA5FEC" w:rsidRDefault="00DA5FEC" w:rsidRPr="00C335B7">
      <w:pPr>
        <w:pStyle w:val="BodyText"/>
        <w:numPr>
          <w:ilvl w:val="0"/>
          <w:numId w:val="7"/>
        </w:numPr>
        <w:tabs>
          <w:tab w:pos="189" w:val="left"/>
        </w:tabs>
        <w:ind w:hanging="180" w:left="180"/>
        <w:jc w:val="both"/>
        <w:rPr>
          <w:rFonts w:ascii="Arial" w:cs="Arial" w:hAnsi="Arial"/>
          <w:color w:val="000000"/>
          <w:sz w:val="20"/>
          <w:szCs w:val="20"/>
          <w:lang w:val="es-US"/>
        </w:rPr>
      </w:pPr>
      <w:r w:rsidRPr="00C335B7">
        <w:rPr>
          <w:rFonts w:ascii="Arial" w:cs="Arial" w:hAnsi="Arial"/>
          <w:color w:val="1F2023"/>
          <w:w w:val="105"/>
          <w:sz w:val="20"/>
          <w:szCs w:val="20"/>
          <w:lang w:val="es-US"/>
        </w:rPr>
        <w:t xml:space="preserve">Acceder y revisar mi/nuestro Informe del Consumidor (reporte de crédito). Obtener informes de crédito adicionales, según sea necesario, para asesoramiento de seguimiento o gestión continua del caso. Las consultas de crédito realizades por Credit.org son de tipo “suave” y no afectaran mi/nuestro puntaje de crédito. </w:t>
      </w:r>
    </w:p>
    <w:p w14:paraId="05C4B2F1" w14:textId="77777777" w:rsidP="00DA5FEC" w:rsidR="00DA5FEC" w:rsidRDefault="00DA5FEC" w:rsidRPr="00C335B7">
      <w:pPr>
        <w:pStyle w:val="BodyText"/>
        <w:numPr>
          <w:ilvl w:val="0"/>
          <w:numId w:val="7"/>
        </w:numPr>
        <w:tabs>
          <w:tab w:pos="189" w:val="left"/>
        </w:tabs>
        <w:ind w:hanging="180" w:left="180"/>
        <w:jc w:val="both"/>
        <w:rPr>
          <w:rFonts w:ascii="Arial" w:cs="Arial" w:hAnsi="Arial"/>
          <w:color w:val="000000"/>
          <w:sz w:val="20"/>
          <w:szCs w:val="20"/>
          <w:lang w:val="es-US"/>
        </w:rPr>
      </w:pPr>
      <w:r w:rsidRPr="00C335B7">
        <w:rPr>
          <w:rFonts w:ascii="Arial" w:cs="Arial" w:hAnsi="Arial"/>
          <w:color w:val="000000"/>
          <w:sz w:val="20"/>
          <w:szCs w:val="20"/>
          <w:lang w:val="es-US"/>
        </w:rPr>
        <w:t xml:space="preserve">Recopilar, usar, y compartir información financiera personal publica y no publica, </w:t>
      </w:r>
      <w:proofErr w:type="gramStart"/>
      <w:r w:rsidRPr="00C335B7">
        <w:rPr>
          <w:rFonts w:ascii="Arial" w:cs="Arial" w:hAnsi="Arial"/>
          <w:color w:val="000000"/>
          <w:sz w:val="20"/>
          <w:szCs w:val="20"/>
          <w:lang w:val="es-US"/>
        </w:rPr>
        <w:t>incluyendo</w:t>
      </w:r>
      <w:proofErr w:type="gramEnd"/>
      <w:r w:rsidRPr="00C335B7">
        <w:rPr>
          <w:rFonts w:ascii="Arial" w:cs="Arial" w:hAnsi="Arial"/>
          <w:color w:val="000000"/>
          <w:sz w:val="20"/>
          <w:szCs w:val="20"/>
          <w:lang w:val="es-US"/>
        </w:rPr>
        <w:t xml:space="preserve"> pero no limitado, el historial de pagos de vivienda o renta, numero de Seguro Social, puntaje de crédito, ingresos, gastos, deudas y otros registros financieros, únicamente con el fin de proporcionar asesoramiento, educación, determinación de elegibilidad para programas y servicios relacionados. </w:t>
      </w:r>
    </w:p>
    <w:p w14:paraId="5B18B608" w14:textId="77777777" w:rsidP="0024661A" w:rsidR="0024661A" w:rsidRDefault="0024661A" w:rsidRPr="00C335B7">
      <w:pPr>
        <w:pStyle w:val="BodyText"/>
        <w:ind w:left="180"/>
        <w:jc w:val="both"/>
        <w:rPr>
          <w:rFonts w:ascii="Arial" w:cs="Arial" w:hAnsi="Arial"/>
          <w:color w:val="000000"/>
          <w:sz w:val="20"/>
          <w:szCs w:val="20"/>
          <w:lang w:val="es-US"/>
        </w:rPr>
      </w:pPr>
    </w:p>
    <w:p w14:paraId="5E0C35E8" w14:textId="77777777" w:rsidP="0024661A" w:rsidR="0024661A" w:rsidRDefault="0024661A" w:rsidRPr="00C335B7">
      <w:pPr>
        <w:spacing w:before="205"/>
        <w:jc w:val="both"/>
        <w:rPr>
          <w:rFonts w:ascii="Arial" w:cs="Arial" w:hAnsi="Arial"/>
          <w:b/>
          <w:sz w:val="20"/>
          <w:szCs w:val="20"/>
          <w:lang w:val="es-US"/>
        </w:rPr>
      </w:pPr>
      <w:r w:rsidRPr="00C335B7">
        <w:rPr>
          <w:rFonts w:ascii="Arial" w:cs="Arial" w:hAnsi="Arial"/>
          <w:b/>
          <w:bCs/>
          <w:color w:val="1F2023"/>
          <w:spacing w:val="-2"/>
          <w:w w:val="110"/>
          <w:sz w:val="20"/>
          <w:szCs w:val="20"/>
          <w:lang w:val="es-US"/>
        </w:rPr>
        <w:t>Declaración:</w:t>
      </w:r>
    </w:p>
    <w:p w14:paraId="157CFFCB" w14:textId="77777777" w:rsidP="0024661A" w:rsidR="0024661A" w:rsidRDefault="0024661A" w:rsidRPr="00C335B7">
      <w:pPr>
        <w:pStyle w:val="BodyText"/>
        <w:numPr>
          <w:ilvl w:val="0"/>
          <w:numId w:val="8"/>
        </w:numPr>
        <w:spacing w:before="174" w:line="244" w:lineRule="auto"/>
        <w:ind w:right="282"/>
        <w:jc w:val="both"/>
        <w:rPr>
          <w:rFonts w:ascii="Arial" w:cs="Arial" w:hAnsi="Arial"/>
          <w:sz w:val="20"/>
          <w:szCs w:val="20"/>
          <w:lang w:val="es-US"/>
        </w:rPr>
      </w:pPr>
      <w:r w:rsidRPr="00C335B7">
        <w:rPr>
          <w:rFonts w:ascii="Arial" w:cs="Arial" w:hAnsi="Arial"/>
          <w:w w:val="115"/>
          <w:sz w:val="20"/>
          <w:szCs w:val="20"/>
          <w:lang w:val="es-US"/>
        </w:rPr>
        <w:t>Reconozco haber recibido la política de privacidad de Credit.org – “¿Que hace Credit.org con su información personal?</w:t>
      </w:r>
      <w:r w:rsidRPr="00C335B7">
        <w:rPr>
          <w:rFonts w:ascii="Arial" w:cs="Arial" w:hAnsi="Arial"/>
          <w:sz w:val="20"/>
          <w:szCs w:val="20"/>
          <w:lang w:val="es-US"/>
        </w:rPr>
        <w:t>”</w:t>
      </w:r>
    </w:p>
    <w:p w14:paraId="776DC18B" w14:textId="77777777" w:rsidP="0024661A" w:rsidR="0024661A" w:rsidRDefault="0024661A" w:rsidRPr="00C335B7">
      <w:pPr>
        <w:pStyle w:val="BodyText"/>
        <w:numPr>
          <w:ilvl w:val="0"/>
          <w:numId w:val="8"/>
        </w:numPr>
        <w:spacing w:before="3" w:line="244" w:lineRule="auto"/>
        <w:ind w:right="282"/>
        <w:jc w:val="both"/>
        <w:rPr>
          <w:rFonts w:ascii="Arial" w:cs="Arial" w:hAnsi="Arial"/>
          <w:sz w:val="20"/>
          <w:szCs w:val="20"/>
          <w:lang w:val="es-US"/>
        </w:rPr>
      </w:pPr>
      <w:r w:rsidRPr="00C335B7">
        <w:rPr>
          <w:rFonts w:ascii="Arial" w:cs="Arial" w:hAnsi="Arial"/>
          <w:w w:val="115"/>
          <w:sz w:val="20"/>
          <w:szCs w:val="20"/>
          <w:lang w:val="es-US"/>
        </w:rPr>
        <w:t>Eximo a Credit.org, sus empleados, funcionarios, directores, voluntarios y agentes de cualquier reclamación, demanda, acción o solicitud por parte de mis acreedores u otra persona que surja de o esté relacionada con la provisión de asesoramiento en administración de dinero y presupuesto por parte de Credit.org</w:t>
      </w:r>
      <w:r w:rsidRPr="00C335B7">
        <w:rPr>
          <w:rFonts w:ascii="Arial" w:cs="Arial" w:hAnsi="Arial"/>
          <w:sz w:val="20"/>
          <w:szCs w:val="20"/>
          <w:lang w:val="es-US"/>
        </w:rPr>
        <w:t>.</w:t>
      </w:r>
    </w:p>
    <w:p w14:paraId="48A6F78B" w14:textId="77777777" w:rsidP="0024661A" w:rsidR="0024661A" w:rsidRDefault="0024661A" w:rsidRPr="00C335B7">
      <w:pPr>
        <w:pStyle w:val="BodyText"/>
        <w:spacing w:before="155"/>
        <w:ind w:left="140"/>
        <w:jc w:val="both"/>
        <w:rPr>
          <w:rFonts w:ascii="Arial" w:cs="Arial" w:hAnsi="Arial"/>
          <w:sz w:val="20"/>
          <w:szCs w:val="20"/>
          <w:lang w:val="es-US"/>
        </w:rPr>
      </w:pPr>
    </w:p>
    <w:p w14:paraId="487367B0" w14:textId="21A4E85A" w:rsidP="0024661A" w:rsidR="0024661A" w:rsidRDefault="0024661A" w:rsidRPr="00C335B7">
      <w:pPr>
        <w:pStyle w:val="ListParagraph"/>
        <w:spacing w:before="1" w:line="242" w:lineRule="exact"/>
        <w:ind w:left="140"/>
        <w:jc w:val="both"/>
        <w:rPr>
          <w:rFonts w:ascii="Arial" w:cs="Arial" w:hAnsi="Arial"/>
          <w:sz w:val="20"/>
          <w:szCs w:val="20"/>
          <w:lang w:val="es-US"/>
        </w:rPr>
      </w:pPr>
      <w:r w:rsidRPr="00C335B7">
        <w:rPr>
          <w:rFonts w:ascii="Arial" w:cs="Arial" w:hAnsi="Arial"/>
          <w:sz w:val="20"/>
          <w:szCs w:val="20"/>
          <w:lang w:val="es-US"/>
        </w:rPr>
        <w:t>Nada de lo aquí contenido se aplicará a acciones o reclamaciones bajo las disposiciones del</w:t>
      </w:r>
    </w:p>
    <w:p w14:paraId="0E5D9CC3" w14:textId="77777777" w:rsidP="0024661A" w:rsidR="0024661A" w:rsidRDefault="0024661A" w:rsidRPr="00C335B7">
      <w:pPr>
        <w:pStyle w:val="ListParagraph"/>
        <w:spacing w:line="240" w:lineRule="exact"/>
        <w:ind w:left="140"/>
        <w:jc w:val="both"/>
        <w:rPr>
          <w:rFonts w:ascii="Arial" w:cs="Arial" w:hAnsi="Arial"/>
          <w:sz w:val="20"/>
          <w:szCs w:val="20"/>
          <w:lang w:val="es-US"/>
        </w:rPr>
      </w:pPr>
      <w:r w:rsidRPr="00C335B7">
        <w:rPr>
          <w:rFonts w:ascii="Arial" w:cs="Arial" w:hAnsi="Arial"/>
          <w:sz w:val="20"/>
          <w:szCs w:val="20"/>
          <w:lang w:val="es-US"/>
        </w:rPr>
        <w:t>Código de Quiebras de EE. UU., 11 U.S.C.</w:t>
      </w:r>
      <w:r w:rsidRPr="00C335B7">
        <w:rPr>
          <w:rFonts w:ascii="Arial" w:cs="Arial" w:hAnsi="Arial"/>
          <w:spacing w:val="-1"/>
          <w:sz w:val="20"/>
          <w:szCs w:val="20"/>
          <w:lang w:val="es-US"/>
        </w:rPr>
        <w:t xml:space="preserve"> </w:t>
      </w:r>
      <w:r w:rsidRPr="00C335B7">
        <w:rPr>
          <w:rFonts w:ascii="Arial" w:cs="Arial" w:hAnsi="Arial"/>
          <w:sz w:val="20"/>
          <w:szCs w:val="20"/>
          <w:lang w:val="es-US"/>
        </w:rPr>
        <w:t xml:space="preserve">§ 101, et </w:t>
      </w:r>
      <w:proofErr w:type="spellStart"/>
      <w:r w:rsidRPr="00C335B7">
        <w:rPr>
          <w:rFonts w:ascii="Arial" w:cs="Arial" w:hAnsi="Arial"/>
          <w:spacing w:val="-4"/>
          <w:sz w:val="20"/>
          <w:szCs w:val="20"/>
          <w:lang w:val="es-US"/>
        </w:rPr>
        <w:t>seq</w:t>
      </w:r>
      <w:proofErr w:type="spellEnd"/>
      <w:r w:rsidRPr="00C335B7">
        <w:rPr>
          <w:rFonts w:ascii="Arial" w:cs="Arial" w:hAnsi="Arial"/>
          <w:spacing w:val="-4"/>
          <w:sz w:val="20"/>
          <w:szCs w:val="20"/>
          <w:lang w:val="es-US"/>
        </w:rPr>
        <w:t>.</w:t>
      </w:r>
    </w:p>
    <w:p w14:paraId="3853A5CE" w14:textId="77777777" w:rsidP="0024661A" w:rsidR="0024661A" w:rsidRDefault="0024661A" w:rsidRPr="00C335B7">
      <w:pPr>
        <w:pStyle w:val="ListParagraph"/>
        <w:spacing w:line="242" w:lineRule="exact"/>
        <w:ind w:left="140"/>
        <w:jc w:val="both"/>
        <w:rPr>
          <w:rFonts w:ascii="Arial" w:cs="Arial" w:hAnsi="Arial"/>
          <w:sz w:val="20"/>
          <w:szCs w:val="20"/>
          <w:lang w:val="es-US"/>
        </w:rPr>
      </w:pPr>
      <w:r w:rsidRPr="00C335B7">
        <w:rPr>
          <w:rFonts w:ascii="Arial" w:cs="Arial" w:hAnsi="Arial"/>
          <w:spacing w:val="-2"/>
          <w:sz w:val="20"/>
          <w:szCs w:val="20"/>
          <w:lang w:val="es-US"/>
        </w:rPr>
        <w:t>Entiendo/entendemos que esta Autorización permanecerá en efecto hasta que la modifique/</w:t>
      </w:r>
      <w:proofErr w:type="spellStart"/>
      <w:r w:rsidRPr="00C335B7">
        <w:rPr>
          <w:rFonts w:ascii="Arial" w:cs="Arial" w:hAnsi="Arial"/>
          <w:spacing w:val="-2"/>
          <w:sz w:val="20"/>
          <w:szCs w:val="20"/>
          <w:lang w:val="es-US"/>
        </w:rPr>
        <w:t>mos</w:t>
      </w:r>
      <w:proofErr w:type="spellEnd"/>
      <w:r w:rsidRPr="00C335B7">
        <w:rPr>
          <w:rFonts w:ascii="Arial" w:cs="Arial" w:hAnsi="Arial"/>
          <w:spacing w:val="-2"/>
          <w:sz w:val="20"/>
          <w:szCs w:val="20"/>
          <w:lang w:val="es-US"/>
        </w:rPr>
        <w:t xml:space="preserve"> o cancele/</w:t>
      </w:r>
      <w:proofErr w:type="spellStart"/>
      <w:r w:rsidRPr="00C335B7">
        <w:rPr>
          <w:rFonts w:ascii="Arial" w:cs="Arial" w:hAnsi="Arial"/>
          <w:spacing w:val="-2"/>
          <w:sz w:val="20"/>
          <w:szCs w:val="20"/>
          <w:lang w:val="es-US"/>
        </w:rPr>
        <w:t>mos</w:t>
      </w:r>
      <w:proofErr w:type="spellEnd"/>
      <w:r w:rsidRPr="00C335B7">
        <w:rPr>
          <w:rFonts w:ascii="Arial" w:cs="Arial" w:hAnsi="Arial"/>
          <w:spacing w:val="-2"/>
          <w:sz w:val="20"/>
          <w:szCs w:val="20"/>
          <w:lang w:val="es-US"/>
        </w:rPr>
        <w:t xml:space="preserve"> por escrito y notifique/</w:t>
      </w:r>
      <w:proofErr w:type="spellStart"/>
      <w:r w:rsidRPr="00C335B7">
        <w:rPr>
          <w:rFonts w:ascii="Arial" w:cs="Arial" w:hAnsi="Arial"/>
          <w:spacing w:val="-2"/>
          <w:sz w:val="20"/>
          <w:szCs w:val="20"/>
          <w:lang w:val="es-US"/>
        </w:rPr>
        <w:t>mos</w:t>
      </w:r>
      <w:proofErr w:type="spellEnd"/>
      <w:r w:rsidRPr="00C335B7">
        <w:rPr>
          <w:rFonts w:ascii="Arial" w:cs="Arial" w:hAnsi="Arial"/>
          <w:spacing w:val="-2"/>
          <w:sz w:val="20"/>
          <w:szCs w:val="20"/>
          <w:lang w:val="es-US"/>
        </w:rPr>
        <w:t xml:space="preserve"> a Credi.org.</w:t>
      </w:r>
    </w:p>
    <w:p w14:paraId="7C0C95D1" w14:textId="77777777" w:rsidP="0024661A" w:rsidR="0024661A" w:rsidRDefault="0024661A" w:rsidRPr="00C335B7">
      <w:pPr>
        <w:pStyle w:val="BodyText"/>
        <w:tabs>
          <w:tab w:pos="4898" w:val="left"/>
          <w:tab w:pos="8225" w:val="left"/>
        </w:tabs>
        <w:spacing w:before="231"/>
        <w:ind w:left="100"/>
        <w:rPr>
          <w:rFonts w:ascii="Arial" w:cs="Arial" w:hAnsi="Arial"/>
          <w:sz w:val="20"/>
          <w:szCs w:val="20"/>
          <w:lang w:val="es-US"/>
        </w:rPr>
      </w:pPr>
      <w:r w:rsidRPr="00C335B7">
        <w:rPr>
          <w:rFonts w:ascii="Arial" w:cs="Arial" w:hAnsi="Arial"/>
          <w:b/>
          <w:bCs/>
          <w:sz w:val="20"/>
          <w:szCs w:val="20"/>
          <w:lang w:val="es-US"/>
        </w:rPr>
        <w:t>Firma:</w:t>
      </w:r>
      <w:r w:rsidRPr="00C335B7">
        <w:rPr>
          <w:rFonts w:ascii="Arial" w:cs="Arial" w:hAnsi="Arial"/>
          <w:sz w:val="20"/>
          <w:szCs w:val="20"/>
          <w:lang w:val="es-US"/>
        </w:rPr>
        <w:t xml:space="preserve"> </w:t>
      </w:r>
      <w:r w:rsidRPr="00C335B7">
        <w:rPr>
          <w:rFonts w:ascii="Arial" w:cs="Arial" w:hAnsi="Arial"/>
          <w:sz w:val="20"/>
          <w:szCs w:val="20"/>
          <w:u w:val="single"/>
          <w:lang w:val="es-US"/>
        </w:rPr>
        <w:tab/>
      </w:r>
      <w:r w:rsidRPr="00C335B7">
        <w:rPr>
          <w:rFonts w:ascii="Arial" w:cs="Arial" w:hAnsi="Arial"/>
          <w:sz w:val="20"/>
          <w:szCs w:val="20"/>
          <w:lang w:val="es-US"/>
        </w:rPr>
        <w:t xml:space="preserve">      </w:t>
      </w:r>
      <w:r w:rsidRPr="00C335B7">
        <w:rPr>
          <w:rFonts w:ascii="Arial" w:cs="Arial" w:hAnsi="Arial"/>
          <w:b/>
          <w:bCs/>
          <w:sz w:val="20"/>
          <w:szCs w:val="20"/>
          <w:lang w:val="es-US"/>
        </w:rPr>
        <w:t>Fecha:</w:t>
      </w:r>
      <w:r w:rsidRPr="00C335B7">
        <w:rPr>
          <w:rFonts w:ascii="Arial" w:cs="Arial" w:hAnsi="Arial"/>
          <w:spacing w:val="56"/>
          <w:sz w:val="20"/>
          <w:szCs w:val="20"/>
          <w:lang w:val="es-US"/>
        </w:rPr>
        <w:t xml:space="preserve"> </w:t>
      </w:r>
      <w:r w:rsidRPr="00C335B7">
        <w:rPr>
          <w:rFonts w:ascii="Arial" w:cs="Arial" w:hAnsi="Arial"/>
          <w:sz w:val="20"/>
          <w:szCs w:val="20"/>
          <w:u w:val="single"/>
          <w:lang w:val="es-US"/>
        </w:rPr>
        <w:tab/>
      </w:r>
    </w:p>
    <w:p w14:paraId="09DC65CB" w14:textId="77777777" w:rsidP="0024661A" w:rsidR="0024661A" w:rsidRDefault="0024661A" w:rsidRPr="00C335B7">
      <w:pPr>
        <w:pStyle w:val="BodyText"/>
        <w:spacing w:before="252"/>
        <w:rPr>
          <w:rFonts w:ascii="Arial" w:cs="Arial" w:hAnsi="Arial"/>
          <w:sz w:val="20"/>
          <w:szCs w:val="20"/>
          <w:lang w:val="es-US"/>
        </w:rPr>
      </w:pPr>
    </w:p>
    <w:p w14:paraId="32968E1E" w14:textId="19BD6FE8" w:rsidP="00AE62AA" w:rsidR="0024661A" w:rsidRDefault="0024661A" w:rsidRPr="00C335B7">
      <w:pPr>
        <w:pStyle w:val="BodyText"/>
        <w:tabs>
          <w:tab w:pos="4910" w:val="left"/>
          <w:tab w:pos="8165" w:val="left"/>
        </w:tabs>
        <w:ind w:left="100"/>
        <w:rPr>
          <w:rFonts w:ascii="Arial" w:cs="Arial" w:hAnsi="Arial"/>
          <w:sz w:val="20"/>
          <w:szCs w:val="20"/>
          <w:lang w:val="es-US"/>
        </w:rPr>
      </w:pPr>
      <w:r w:rsidRPr="00C335B7">
        <w:rPr>
          <w:rFonts w:ascii="Arial" w:cs="Arial" w:hAnsi="Arial"/>
          <w:b/>
          <w:bCs/>
          <w:spacing w:val="-5"/>
          <w:sz w:val="20"/>
          <w:szCs w:val="20"/>
          <w:lang w:val="es-US"/>
        </w:rPr>
        <w:t>Co-Firma:</w:t>
      </w:r>
      <w:r w:rsidRPr="00C335B7">
        <w:rPr>
          <w:rFonts w:ascii="Arial" w:cs="Arial" w:hAnsi="Arial"/>
          <w:sz w:val="20"/>
          <w:szCs w:val="20"/>
          <w:u w:val="single"/>
          <w:lang w:val="es-US"/>
        </w:rPr>
        <w:t xml:space="preserve"> </w:t>
      </w:r>
      <w:r w:rsidRPr="00C335B7">
        <w:rPr>
          <w:rFonts w:ascii="Arial" w:cs="Arial" w:hAnsi="Arial"/>
          <w:sz w:val="20"/>
          <w:szCs w:val="20"/>
          <w:u w:val="single"/>
          <w:lang w:val="es-US"/>
        </w:rPr>
        <w:tab/>
      </w:r>
      <w:r w:rsidRPr="00C335B7">
        <w:rPr>
          <w:rFonts w:ascii="Arial" w:cs="Arial" w:hAnsi="Arial"/>
          <w:sz w:val="20"/>
          <w:szCs w:val="20"/>
          <w:lang w:val="es-US"/>
        </w:rPr>
        <w:t xml:space="preserve">      </w:t>
      </w:r>
      <w:r w:rsidRPr="00C335B7">
        <w:rPr>
          <w:rFonts w:ascii="Arial" w:cs="Arial" w:hAnsi="Arial"/>
          <w:b/>
          <w:bCs/>
          <w:sz w:val="20"/>
          <w:szCs w:val="20"/>
          <w:lang w:val="es-US"/>
        </w:rPr>
        <w:t>Fecha:</w:t>
      </w:r>
      <w:r w:rsidRPr="00C335B7">
        <w:rPr>
          <w:rFonts w:ascii="Arial" w:cs="Arial" w:hAnsi="Arial"/>
          <w:sz w:val="20"/>
          <w:szCs w:val="20"/>
          <w:lang w:val="es-US"/>
        </w:rPr>
        <w:t xml:space="preserve"> </w:t>
      </w:r>
      <w:r w:rsidRPr="00C335B7">
        <w:rPr>
          <w:rFonts w:ascii="Arial" w:cs="Arial" w:hAnsi="Arial"/>
          <w:sz w:val="20"/>
          <w:szCs w:val="20"/>
          <w:u w:val="single"/>
          <w:lang w:val="es-US"/>
        </w:rPr>
        <w:tab/>
      </w:r>
    </w:p>
    <w:p w14:paraId="37CA3EA5" w14:textId="77777777" w:rsidP="0024661A" w:rsidR="000B68E9" w:rsidRDefault="000B68E9">
      <w:pPr>
        <w:ind w:right="109"/>
        <w:jc w:val="right"/>
        <w:rPr>
          <w:rFonts w:ascii="Calibri" w:cs="Calibri" w:hAnsi="Calibri"/>
          <w:spacing w:val="-4"/>
          <w:sz w:val="16"/>
          <w:lang w:val="es-US"/>
        </w:rPr>
      </w:pPr>
    </w:p>
    <w:p w14:paraId="678AC97C" w14:textId="77777777" w:rsidP="0024661A" w:rsidR="000B68E9" w:rsidRDefault="000B68E9">
      <w:pPr>
        <w:ind w:right="109"/>
        <w:jc w:val="right"/>
        <w:rPr>
          <w:rFonts w:ascii="Calibri" w:cs="Calibri" w:hAnsi="Calibri"/>
          <w:spacing w:val="-4"/>
          <w:sz w:val="16"/>
          <w:lang w:val="es-US"/>
        </w:rPr>
      </w:pPr>
    </w:p>
    <w:p w14:paraId="5F15DA67" w14:textId="77777777" w:rsidP="0024661A" w:rsidR="000B68E9" w:rsidRDefault="000B68E9">
      <w:pPr>
        <w:ind w:right="109"/>
        <w:jc w:val="right"/>
        <w:rPr>
          <w:rFonts w:ascii="Calibri" w:cs="Calibri" w:hAnsi="Calibri"/>
          <w:spacing w:val="-4"/>
          <w:sz w:val="16"/>
          <w:lang w:val="es-US"/>
        </w:rPr>
      </w:pPr>
    </w:p>
    <w:p w14:paraId="51210789" w14:textId="33461C2F" w:rsidP="0024661A" w:rsidR="00764286" w:rsidRDefault="0024661A" w:rsidRPr="0024661A">
      <w:pPr>
        <w:ind w:right="109"/>
        <w:jc w:val="right"/>
        <w:rPr>
          <w:rFonts w:ascii="Calibri" w:cs="Calibri" w:hAnsi="Calibri"/>
          <w:sz w:val="16"/>
          <w:lang w:val="es-US"/>
        </w:rPr>
      </w:pPr>
      <w:r w:rsidRPr="00F5759C">
        <w:rPr>
          <w:rFonts w:ascii="Calibri" w:cs="Calibri" w:hAnsi="Calibri"/>
          <w:spacing w:val="-4"/>
          <w:sz w:val="16"/>
          <w:lang w:val="es-US"/>
        </w:rPr>
        <w:t>111</w:t>
      </w:r>
      <w:r w:rsidR="000B68E9">
        <w:rPr>
          <w:rFonts w:ascii="Calibri" w:cs="Calibri" w:hAnsi="Calibri"/>
          <w:spacing w:val="-4"/>
          <w:sz w:val="16"/>
          <w:lang w:val="es-US"/>
        </w:rPr>
        <w:t>3</w:t>
      </w:r>
      <w:r w:rsidRPr="00F5759C">
        <w:rPr>
          <w:rFonts w:ascii="Calibri" w:cs="Calibri" w:hAnsi="Calibri"/>
          <w:spacing w:val="-4"/>
          <w:sz w:val="16"/>
          <w:lang w:val="es-US"/>
        </w:rPr>
        <w:t>V</w:t>
      </w:r>
      <w:r w:rsidR="002E217B">
        <w:rPr>
          <w:rFonts w:ascii="Calibri" w:cs="Calibri" w:hAnsi="Calibri"/>
          <w:spacing w:val="-4"/>
          <w:sz w:val="16"/>
          <w:lang w:val="es-US"/>
        </w:rPr>
        <w:t>12</w:t>
      </w:r>
      <w:r w:rsidRPr="00F5759C">
        <w:rPr>
          <w:rFonts w:ascii="Calibri" w:cs="Calibri" w:hAnsi="Calibri"/>
          <w:spacing w:val="-4"/>
          <w:sz w:val="16"/>
          <w:lang w:val="es-US"/>
        </w:rPr>
        <w:t>/</w:t>
      </w:r>
      <w:r w:rsidR="002E217B">
        <w:rPr>
          <w:rFonts w:ascii="Calibri" w:cs="Calibri" w:hAnsi="Calibri"/>
          <w:spacing w:val="-4"/>
          <w:sz w:val="16"/>
          <w:lang w:val="es-US"/>
        </w:rPr>
        <w:t>1</w:t>
      </w:r>
      <w:r w:rsidR="000B68E9">
        <w:rPr>
          <w:rFonts w:ascii="Calibri" w:cs="Calibri" w:hAnsi="Calibri"/>
          <w:spacing w:val="-4"/>
          <w:sz w:val="16"/>
          <w:lang w:val="es-US"/>
        </w:rPr>
        <w:t>8</w:t>
      </w:r>
      <w:r w:rsidRPr="00F5759C">
        <w:rPr>
          <w:rFonts w:ascii="Calibri" w:cs="Calibri" w:hAnsi="Calibri"/>
          <w:spacing w:val="-4"/>
          <w:sz w:val="16"/>
          <w:lang w:val="es-US"/>
        </w:rPr>
        <w:t>/2025</w:t>
      </w:r>
    </w:p>
    <w:sectPr w:rsidR="00764286" w:rsidRPr="0024661A" w:rsidSect="00285A50">
      <w:headerReference r:id="rId8" w:type="even"/>
      <w:headerReference r:id="rId9" w:type="default"/>
      <w:footerReference r:id="rId10" w:type="even"/>
      <w:footerReference r:id="rId11" w:type="default"/>
      <w:headerReference r:id="rId12" w:type="first"/>
      <w:footerReference r:id="rId13" w:type="first"/>
      <w:pgSz w:h="15840" w:w="12240"/>
      <w:pgMar w:bottom="1440" w:footer="720" w:gutter="0" w:header="720" w:left="1440" w:right="1440" w:top="24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B68D" w14:textId="77777777" w:rsidR="003E33B8" w:rsidRDefault="003E33B8" w:rsidP="00E56ADB">
      <w:pPr>
        <w:spacing w:after="0" w:line="240" w:lineRule="auto"/>
      </w:pPr>
      <w:r>
        <w:separator/>
      </w:r>
    </w:p>
  </w:endnote>
  <w:endnote w:type="continuationSeparator" w:id="0">
    <w:p w14:paraId="4A4F179B" w14:textId="77777777" w:rsidR="003E33B8" w:rsidRDefault="003E33B8" w:rsidP="00E5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98E2" w14:textId="77777777" w:rsidR="004C66A0" w:rsidRDefault="004C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8504" w14:textId="77777777" w:rsidR="004C66A0" w:rsidRDefault="004C6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157E" w14:textId="77777777" w:rsidR="004C66A0" w:rsidRDefault="004C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7176" w14:textId="77777777" w:rsidR="003E33B8" w:rsidRDefault="003E33B8" w:rsidP="00E56ADB">
      <w:pPr>
        <w:spacing w:after="0" w:line="240" w:lineRule="auto"/>
      </w:pPr>
      <w:r>
        <w:separator/>
      </w:r>
    </w:p>
  </w:footnote>
  <w:footnote w:type="continuationSeparator" w:id="0">
    <w:p w14:paraId="38624FA3" w14:textId="77777777" w:rsidR="003E33B8" w:rsidRDefault="003E33B8" w:rsidP="00E56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864C" w14:textId="77777777" w:rsidR="004C66A0" w:rsidRDefault="004C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643C" w14:textId="25069CE5" w:rsidR="00E56ADB" w:rsidRDefault="00E56ADB">
    <w:pPr>
      <w:pStyle w:val="Header"/>
    </w:pPr>
    <w:r>
      <w:rPr>
        <w:noProof/>
      </w:rPr>
      <w:drawing>
        <wp:anchor distT="0" distB="0" distL="114300" distR="114300" simplePos="0" relativeHeight="251658240" behindDoc="1" locked="0" layoutInCell="1" allowOverlap="1" wp14:anchorId="09BDB970" wp14:editId="60E58DA6">
          <wp:simplePos x="0" y="0"/>
          <wp:positionH relativeFrom="column">
            <wp:posOffset>-914400</wp:posOffset>
          </wp:positionH>
          <wp:positionV relativeFrom="paragraph">
            <wp:posOffset>-456913</wp:posOffset>
          </wp:positionV>
          <wp:extent cx="7780325" cy="10069793"/>
          <wp:effectExtent l="0" t="0" r="0" b="8255"/>
          <wp:wrapNone/>
          <wp:docPr id="13845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779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80325" cy="100697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CCA3" w14:textId="77777777" w:rsidR="004C66A0" w:rsidRDefault="004C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040"/>
    <w:multiLevelType w:val="hybridMultilevel"/>
    <w:tmpl w:val="44FC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F34B3"/>
    <w:multiLevelType w:val="hybridMultilevel"/>
    <w:tmpl w:val="E2F8D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42AFE"/>
    <w:multiLevelType w:val="hybridMultilevel"/>
    <w:tmpl w:val="3E2EBA58"/>
    <w:lvl w:ilvl="0" w:tplc="437E9DF0">
      <w:numFmt w:val="bullet"/>
      <w:lvlText w:val="•"/>
      <w:lvlJc w:val="left"/>
      <w:pPr>
        <w:ind w:left="140" w:hanging="162"/>
      </w:pPr>
      <w:rPr>
        <w:rFonts w:ascii="Calibri" w:eastAsia="Calibri" w:hAnsi="Calibri" w:cs="Calibri" w:hint="default"/>
        <w:b w:val="0"/>
        <w:bCs w:val="0"/>
        <w:i w:val="0"/>
        <w:iCs w:val="0"/>
        <w:color w:val="1F2023"/>
        <w:spacing w:val="0"/>
        <w:w w:val="94"/>
        <w:sz w:val="24"/>
        <w:szCs w:val="24"/>
        <w:lang w:val="es-ES" w:eastAsia="en-US" w:bidi="ar-SA"/>
      </w:rPr>
    </w:lvl>
    <w:lvl w:ilvl="1" w:tplc="69B6F28C">
      <w:numFmt w:val="bullet"/>
      <w:lvlText w:val="•"/>
      <w:lvlJc w:val="left"/>
      <w:pPr>
        <w:ind w:left="1090" w:hanging="162"/>
      </w:pPr>
      <w:rPr>
        <w:rFonts w:hint="default"/>
        <w:lang w:val="es-ES" w:eastAsia="en-US" w:bidi="ar-SA"/>
      </w:rPr>
    </w:lvl>
    <w:lvl w:ilvl="2" w:tplc="AD426320">
      <w:numFmt w:val="bullet"/>
      <w:lvlText w:val="•"/>
      <w:lvlJc w:val="left"/>
      <w:pPr>
        <w:ind w:left="2040" w:hanging="162"/>
      </w:pPr>
      <w:rPr>
        <w:rFonts w:hint="default"/>
        <w:lang w:val="es-ES" w:eastAsia="en-US" w:bidi="ar-SA"/>
      </w:rPr>
    </w:lvl>
    <w:lvl w:ilvl="3" w:tplc="1D780C20">
      <w:numFmt w:val="bullet"/>
      <w:lvlText w:val="•"/>
      <w:lvlJc w:val="left"/>
      <w:pPr>
        <w:ind w:left="2990" w:hanging="162"/>
      </w:pPr>
      <w:rPr>
        <w:rFonts w:hint="default"/>
        <w:lang w:val="es-ES" w:eastAsia="en-US" w:bidi="ar-SA"/>
      </w:rPr>
    </w:lvl>
    <w:lvl w:ilvl="4" w:tplc="87ECE126">
      <w:numFmt w:val="bullet"/>
      <w:lvlText w:val="•"/>
      <w:lvlJc w:val="left"/>
      <w:pPr>
        <w:ind w:left="3940" w:hanging="162"/>
      </w:pPr>
      <w:rPr>
        <w:rFonts w:hint="default"/>
        <w:lang w:val="es-ES" w:eastAsia="en-US" w:bidi="ar-SA"/>
      </w:rPr>
    </w:lvl>
    <w:lvl w:ilvl="5" w:tplc="E996E12C">
      <w:numFmt w:val="bullet"/>
      <w:lvlText w:val="•"/>
      <w:lvlJc w:val="left"/>
      <w:pPr>
        <w:ind w:left="4890" w:hanging="162"/>
      </w:pPr>
      <w:rPr>
        <w:rFonts w:hint="default"/>
        <w:lang w:val="es-ES" w:eastAsia="en-US" w:bidi="ar-SA"/>
      </w:rPr>
    </w:lvl>
    <w:lvl w:ilvl="6" w:tplc="1AD48016">
      <w:numFmt w:val="bullet"/>
      <w:lvlText w:val="•"/>
      <w:lvlJc w:val="left"/>
      <w:pPr>
        <w:ind w:left="5840" w:hanging="162"/>
      </w:pPr>
      <w:rPr>
        <w:rFonts w:hint="default"/>
        <w:lang w:val="es-ES" w:eastAsia="en-US" w:bidi="ar-SA"/>
      </w:rPr>
    </w:lvl>
    <w:lvl w:ilvl="7" w:tplc="30045B6A">
      <w:numFmt w:val="bullet"/>
      <w:lvlText w:val="•"/>
      <w:lvlJc w:val="left"/>
      <w:pPr>
        <w:ind w:left="6790" w:hanging="162"/>
      </w:pPr>
      <w:rPr>
        <w:rFonts w:hint="default"/>
        <w:lang w:val="es-ES" w:eastAsia="en-US" w:bidi="ar-SA"/>
      </w:rPr>
    </w:lvl>
    <w:lvl w:ilvl="8" w:tplc="5E206046">
      <w:numFmt w:val="bullet"/>
      <w:lvlText w:val="•"/>
      <w:lvlJc w:val="left"/>
      <w:pPr>
        <w:ind w:left="7740" w:hanging="162"/>
      </w:pPr>
      <w:rPr>
        <w:rFonts w:hint="default"/>
        <w:lang w:val="es-ES" w:eastAsia="en-US" w:bidi="ar-SA"/>
      </w:rPr>
    </w:lvl>
  </w:abstractNum>
  <w:abstractNum w:abstractNumId="3" w15:restartNumberingAfterBreak="0">
    <w:nsid w:val="19F20C2F"/>
    <w:multiLevelType w:val="hybridMultilevel"/>
    <w:tmpl w:val="420AF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31351"/>
    <w:multiLevelType w:val="hybridMultilevel"/>
    <w:tmpl w:val="9E4C6E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F7358"/>
    <w:multiLevelType w:val="multilevel"/>
    <w:tmpl w:val="7B88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C72C6"/>
    <w:multiLevelType w:val="hybridMultilevel"/>
    <w:tmpl w:val="D872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738DE"/>
    <w:multiLevelType w:val="hybridMultilevel"/>
    <w:tmpl w:val="CAB8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224710">
    <w:abstractNumId w:val="0"/>
  </w:num>
  <w:num w:numId="2" w16cid:durableId="562253007">
    <w:abstractNumId w:val="6"/>
  </w:num>
  <w:num w:numId="3" w16cid:durableId="1240673306">
    <w:abstractNumId w:val="3"/>
  </w:num>
  <w:num w:numId="4" w16cid:durableId="1421952961">
    <w:abstractNumId w:val="1"/>
  </w:num>
  <w:num w:numId="5" w16cid:durableId="834301036">
    <w:abstractNumId w:val="4"/>
  </w:num>
  <w:num w:numId="6" w16cid:durableId="2026443978">
    <w:abstractNumId w:val="5"/>
  </w:num>
  <w:num w:numId="7" w16cid:durableId="935551532">
    <w:abstractNumId w:val="7"/>
  </w:num>
  <w:num w:numId="8" w16cid:durableId="1489394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DB"/>
    <w:rsid w:val="00003457"/>
    <w:rsid w:val="000B4721"/>
    <w:rsid w:val="000B68E9"/>
    <w:rsid w:val="00106905"/>
    <w:rsid w:val="00123E59"/>
    <w:rsid w:val="0024661A"/>
    <w:rsid w:val="00285A50"/>
    <w:rsid w:val="002D635D"/>
    <w:rsid w:val="002E217B"/>
    <w:rsid w:val="002E7286"/>
    <w:rsid w:val="0038065F"/>
    <w:rsid w:val="003E33B8"/>
    <w:rsid w:val="00444024"/>
    <w:rsid w:val="004C4361"/>
    <w:rsid w:val="004C66A0"/>
    <w:rsid w:val="004C75C5"/>
    <w:rsid w:val="006405D2"/>
    <w:rsid w:val="00715DDF"/>
    <w:rsid w:val="007301A9"/>
    <w:rsid w:val="00761279"/>
    <w:rsid w:val="00764286"/>
    <w:rsid w:val="007B1320"/>
    <w:rsid w:val="007E5725"/>
    <w:rsid w:val="008D4D05"/>
    <w:rsid w:val="008E2E10"/>
    <w:rsid w:val="008E342F"/>
    <w:rsid w:val="0095228F"/>
    <w:rsid w:val="00993511"/>
    <w:rsid w:val="009A07BA"/>
    <w:rsid w:val="00AE62AA"/>
    <w:rsid w:val="00C06B6A"/>
    <w:rsid w:val="00C16AB6"/>
    <w:rsid w:val="00C335B7"/>
    <w:rsid w:val="00D732E8"/>
    <w:rsid w:val="00D84743"/>
    <w:rsid w:val="00DA5FEC"/>
    <w:rsid w:val="00DE4D39"/>
    <w:rsid w:val="00DF5E2A"/>
    <w:rsid w:val="00E03D03"/>
    <w:rsid w:val="00E56ADB"/>
    <w:rsid w:val="00EA6A99"/>
    <w:rsid w:val="00EF5C0C"/>
    <w:rsid w:val="00FE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123D3"/>
  <w15:chartTrackingRefBased/>
  <w15:docId w15:val="{3609C8E6-62FB-4135-B0A5-9330A19D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361"/>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ADB"/>
  </w:style>
  <w:style w:type="paragraph" w:styleId="Footer">
    <w:name w:val="footer"/>
    <w:basedOn w:val="Normal"/>
    <w:link w:val="FooterChar"/>
    <w:uiPriority w:val="99"/>
    <w:unhideWhenUsed/>
    <w:rsid w:val="00E56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ADB"/>
  </w:style>
  <w:style w:type="paragraph" w:styleId="ListParagraph">
    <w:name w:val="List Paragraph"/>
    <w:basedOn w:val="Normal"/>
    <w:uiPriority w:val="1"/>
    <w:qFormat/>
    <w:rsid w:val="009A07BA"/>
    <w:pPr>
      <w:ind w:left="720"/>
      <w:contextualSpacing/>
    </w:pPr>
  </w:style>
  <w:style w:type="character" w:customStyle="1" w:styleId="Heading1Char">
    <w:name w:val="Heading 1 Char"/>
    <w:basedOn w:val="DefaultParagraphFont"/>
    <w:link w:val="Heading1"/>
    <w:uiPriority w:val="9"/>
    <w:rsid w:val="004C4361"/>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4C436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4C4361"/>
    <w:rPr>
      <w:rFonts w:asciiTheme="majorHAnsi" w:eastAsiaTheme="majorEastAsia" w:hAnsiTheme="majorHAnsi" w:cstheme="majorBidi"/>
      <w:color w:val="323E4F" w:themeColor="text2" w:themeShade="BF"/>
      <w:spacing w:val="5"/>
      <w:kern w:val="28"/>
      <w:sz w:val="52"/>
      <w:szCs w:val="52"/>
      <w14:ligatures w14:val="none"/>
    </w:rPr>
  </w:style>
  <w:style w:type="paragraph" w:styleId="BodyText">
    <w:name w:val="Body Text"/>
    <w:basedOn w:val="Normal"/>
    <w:link w:val="BodyTextChar"/>
    <w:uiPriority w:val="1"/>
    <w:qFormat/>
    <w:rsid w:val="0024661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4661A"/>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C75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nkprotect.cudasvc.com/url?a=https%3a%2f%2fCreditanddebt.org&amp;c=E,1,9t9k0wZFUCbMwEJ4SVaOQOpHP8xrPySwPsLCD3NFN-WPfrC3RqhzsdRW7c2dtrLsev1oO7dMNEfAkit54TpolS4oTc2m6nUES6Rftk6V1v3zdzIZhDGqkT47Hd7i&amp;typo=1&amp;ancr_ad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Nelson</dc:creator>
  <cp:keywords/>
  <dc:description/>
  <cp:lastModifiedBy>Michelle Taylor</cp:lastModifiedBy>
  <cp:revision>2</cp:revision>
  <dcterms:created xsi:type="dcterms:W3CDTF">2026-01-05T15:14:00Z</dcterms:created>
  <dcterms:modified xsi:type="dcterms:W3CDTF">2026-01-05T15:14:00Z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47202</vt:lpwstr>
  </property>
  <property fmtid="{D5CDD505-2E9C-101B-9397-08002B2CF9AE}" name="NXPowerLiteSettings" pid="3">
    <vt:lpwstr>E7000400038000</vt:lpwstr>
  </property>
  <property fmtid="{D5CDD505-2E9C-101B-9397-08002B2CF9AE}" name="NXPowerLiteVersion" pid="4">
    <vt:lpwstr>S10.9.5</vt:lpwstr>
  </property>
</Properties>
</file>