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10. The Married Miller Trust Case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George is married, in a nursing home, and earns $3,000/month. His wife receives $1,000/month. They live in an income cap state with a cap of $2,829. How can they structure a plan using a Miller Trust and MMMNA?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